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3D866" w14:textId="77777777" w:rsidR="003B0E73" w:rsidRDefault="00017256">
      <w:pPr>
        <w:rPr>
          <w:b/>
          <w:color w:val="000000"/>
        </w:rPr>
      </w:pPr>
      <w:bookmarkStart w:id="0" w:name="_heading=h.gjdgxs" w:colFirst="0" w:colLast="0"/>
      <w:bookmarkEnd w:id="0"/>
      <w:r>
        <w:rPr>
          <w:noProof/>
        </w:rPr>
        <w:drawing>
          <wp:inline distT="0" distB="0" distL="0" distR="0" wp14:anchorId="6FC8B8B5" wp14:editId="0262EB39">
            <wp:extent cx="1645920" cy="1371600"/>
            <wp:effectExtent l="0" t="0" r="0" b="0"/>
            <wp:docPr id="3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5920" cy="1371600"/>
                    </a:xfrm>
                    <a:prstGeom prst="rect">
                      <a:avLst/>
                    </a:prstGeom>
                    <a:ln/>
                  </pic:spPr>
                </pic:pic>
              </a:graphicData>
            </a:graphic>
          </wp:inline>
        </w:drawing>
      </w:r>
    </w:p>
    <w:p w14:paraId="25A19188" w14:textId="77777777" w:rsidR="003B0E73" w:rsidRDefault="003B0E73">
      <w:pPr>
        <w:rPr>
          <w:b/>
          <w:color w:val="000000"/>
        </w:rPr>
      </w:pPr>
    </w:p>
    <w:p w14:paraId="4258C507" w14:textId="77777777" w:rsidR="003B0E73" w:rsidRDefault="00017256">
      <w:pPr>
        <w:spacing w:after="200" w:line="276" w:lineRule="auto"/>
        <w:rPr>
          <w:b/>
          <w:sz w:val="36"/>
          <w:szCs w:val="36"/>
        </w:rPr>
      </w:pPr>
      <w:bookmarkStart w:id="1" w:name="_heading=h.3dy6vkm" w:colFirst="0" w:colLast="0"/>
      <w:bookmarkEnd w:id="1"/>
      <w:r>
        <w:rPr>
          <w:b/>
          <w:sz w:val="36"/>
          <w:szCs w:val="36"/>
        </w:rPr>
        <w:t>Attachment 3 – Statement of Requirements</w:t>
      </w:r>
    </w:p>
    <w:p w14:paraId="628B8757" w14:textId="77777777" w:rsidR="003B0E73" w:rsidRDefault="003B0E73">
      <w:pPr>
        <w:spacing w:line="360" w:lineRule="auto"/>
        <w:ind w:left="2835" w:hanging="2835"/>
        <w:rPr>
          <w:sz w:val="32"/>
          <w:szCs w:val="32"/>
          <w:highlight w:val="white"/>
        </w:rPr>
      </w:pPr>
      <w:bookmarkStart w:id="2" w:name="_heading=h.1y810tw" w:colFirst="0" w:colLast="0"/>
      <w:bookmarkEnd w:id="2"/>
    </w:p>
    <w:p w14:paraId="1DD400BB" w14:textId="77777777" w:rsidR="003B0E73" w:rsidRDefault="00017256">
      <w:pPr>
        <w:spacing w:line="360" w:lineRule="auto"/>
        <w:ind w:left="2835" w:hanging="2835"/>
        <w:rPr>
          <w:sz w:val="32"/>
          <w:szCs w:val="32"/>
        </w:rPr>
      </w:pPr>
      <w:r>
        <w:rPr>
          <w:sz w:val="32"/>
          <w:szCs w:val="32"/>
        </w:rPr>
        <w:t>Provision of Gender Pay Gap Decomposition Analysis</w:t>
      </w:r>
    </w:p>
    <w:p w14:paraId="692CBD87" w14:textId="77777777" w:rsidR="003B0E73" w:rsidRDefault="00017256">
      <w:pPr>
        <w:spacing w:line="360" w:lineRule="auto"/>
        <w:ind w:left="2835" w:hanging="2835"/>
        <w:rPr>
          <w:sz w:val="32"/>
          <w:szCs w:val="32"/>
          <w:shd w:val="clear" w:color="auto" w:fill="FFFF99"/>
        </w:rPr>
      </w:pPr>
      <w:r>
        <w:rPr>
          <w:sz w:val="32"/>
          <w:szCs w:val="32"/>
        </w:rPr>
        <w:t>Contract Reference: CCCO25A01</w:t>
      </w:r>
    </w:p>
    <w:p w14:paraId="746FDBB3" w14:textId="77777777" w:rsidR="003B0E73" w:rsidRDefault="00017256">
      <w:pPr>
        <w:rPr>
          <w:b/>
          <w:color w:val="000000"/>
        </w:rPr>
      </w:pPr>
      <w:r>
        <w:br w:type="page"/>
      </w:r>
    </w:p>
    <w:p w14:paraId="024C654E" w14:textId="77777777" w:rsidR="003B0E73" w:rsidRDefault="00017256">
      <w:pPr>
        <w:pBdr>
          <w:top w:val="nil"/>
          <w:left w:val="nil"/>
          <w:bottom w:val="nil"/>
          <w:right w:val="nil"/>
          <w:between w:val="nil"/>
        </w:pBdr>
        <w:jc w:val="center"/>
        <w:rPr>
          <w:b/>
          <w:color w:val="000000"/>
        </w:rPr>
      </w:pPr>
      <w:r>
        <w:rPr>
          <w:b/>
          <w:color w:val="000000"/>
        </w:rPr>
        <w:lastRenderedPageBreak/>
        <w:t>CONTENTS</w:t>
      </w:r>
    </w:p>
    <w:p w14:paraId="47D71DCE" w14:textId="77777777" w:rsidR="003B0E73" w:rsidRDefault="003B0E73"/>
    <w:sdt>
      <w:sdtPr>
        <w:id w:val="-379401393"/>
        <w:docPartObj>
          <w:docPartGallery w:val="Table of Contents"/>
          <w:docPartUnique/>
        </w:docPartObj>
      </w:sdtPr>
      <w:sdtEndPr/>
      <w:sdtContent>
        <w:p w14:paraId="229F31B8" w14:textId="77777777" w:rsidR="003B0E73" w:rsidRDefault="00017256">
          <w:pPr>
            <w:pBdr>
              <w:top w:val="nil"/>
              <w:left w:val="nil"/>
              <w:bottom w:val="nil"/>
              <w:right w:val="nil"/>
              <w:between w:val="nil"/>
            </w:pBdr>
            <w:tabs>
              <w:tab w:val="left" w:pos="720"/>
              <w:tab w:val="right" w:pos="9029"/>
            </w:tabs>
            <w:spacing w:after="120"/>
            <w:ind w:left="720" w:hanging="720"/>
            <w:rPr>
              <w:color w:val="000000"/>
            </w:rPr>
          </w:pPr>
          <w:r>
            <w:fldChar w:fldCharType="begin"/>
          </w:r>
          <w:r>
            <w:instrText xml:space="preserve"> TOC \h \u \z \t "Heading 1,1,"</w:instrText>
          </w:r>
          <w:r>
            <w:fldChar w:fldCharType="separate"/>
          </w:r>
          <w:hyperlink w:anchor="_heading=h.1fob9te">
            <w:r>
              <w:rPr>
                <w:smallCaps/>
                <w:color w:val="000000"/>
              </w:rPr>
              <w:t>1.</w:t>
            </w:r>
          </w:hyperlink>
          <w:hyperlink w:anchor="_heading=h.1fob9te">
            <w:r>
              <w:rPr>
                <w:color w:val="000000"/>
              </w:rPr>
              <w:tab/>
            </w:r>
          </w:hyperlink>
          <w:r>
            <w:fldChar w:fldCharType="begin"/>
          </w:r>
          <w:r>
            <w:instrText xml:space="preserve"> PAGEREF _heading=h.1fob9te \h </w:instrText>
          </w:r>
          <w:r>
            <w:fldChar w:fldCharType="separate"/>
          </w:r>
          <w:r>
            <w:rPr>
              <w:smallCaps/>
              <w:color w:val="000000"/>
            </w:rPr>
            <w:t>PURPOSE</w:t>
          </w:r>
          <w:r>
            <w:rPr>
              <w:smallCaps/>
              <w:color w:val="000000"/>
            </w:rPr>
            <w:tab/>
            <w:t>3</w:t>
          </w:r>
          <w:hyperlink w:anchor="_heading=h.1fob9te" w:history="1"/>
        </w:p>
        <w:p w14:paraId="50432E11" w14:textId="77777777" w:rsidR="003B0E73" w:rsidRDefault="00017256">
          <w:pPr>
            <w:pBdr>
              <w:top w:val="nil"/>
              <w:left w:val="nil"/>
              <w:bottom w:val="nil"/>
              <w:right w:val="nil"/>
              <w:between w:val="nil"/>
            </w:pBdr>
            <w:tabs>
              <w:tab w:val="left" w:pos="720"/>
              <w:tab w:val="right" w:pos="9029"/>
            </w:tabs>
            <w:spacing w:after="120"/>
            <w:ind w:left="720" w:hanging="720"/>
            <w:rPr>
              <w:color w:val="000000"/>
            </w:rPr>
          </w:pPr>
          <w:r>
            <w:fldChar w:fldCharType="end"/>
          </w:r>
          <w:hyperlink w:anchor="_heading=h.2et92p0">
            <w:r>
              <w:rPr>
                <w:smallCaps/>
                <w:color w:val="000000"/>
              </w:rPr>
              <w:t>2.</w:t>
            </w:r>
          </w:hyperlink>
          <w:hyperlink w:anchor="_heading=h.2et92p0">
            <w:r>
              <w:rPr>
                <w:color w:val="000000"/>
              </w:rPr>
              <w:tab/>
            </w:r>
          </w:hyperlink>
          <w:r>
            <w:fldChar w:fldCharType="begin"/>
          </w:r>
          <w:r>
            <w:instrText xml:space="preserve"> PAGEREF _heading=h.2et92p0 \h </w:instrText>
          </w:r>
          <w:r>
            <w:fldChar w:fldCharType="separate"/>
          </w:r>
          <w:r>
            <w:rPr>
              <w:smallCaps/>
              <w:color w:val="000000"/>
            </w:rPr>
            <w:t>BACKGROUND TO THE CONTRACTING AUTHORITY</w:t>
          </w:r>
          <w:r>
            <w:rPr>
              <w:smallCaps/>
              <w:color w:val="000000"/>
            </w:rPr>
            <w:tab/>
            <w:t>4</w:t>
          </w:r>
          <w:hyperlink w:anchor="_heading=h.2et92p0" w:history="1"/>
        </w:p>
        <w:p w14:paraId="3C4B344B" w14:textId="77777777" w:rsidR="003B0E73" w:rsidRDefault="00017256">
          <w:pPr>
            <w:pBdr>
              <w:top w:val="nil"/>
              <w:left w:val="nil"/>
              <w:bottom w:val="nil"/>
              <w:right w:val="nil"/>
              <w:between w:val="nil"/>
            </w:pBdr>
            <w:tabs>
              <w:tab w:val="left" w:pos="720"/>
              <w:tab w:val="right" w:pos="9029"/>
            </w:tabs>
            <w:spacing w:after="120"/>
            <w:ind w:left="720" w:hanging="720"/>
            <w:rPr>
              <w:color w:val="000000"/>
            </w:rPr>
          </w:pPr>
          <w:r>
            <w:fldChar w:fldCharType="end"/>
          </w:r>
          <w:hyperlink w:anchor="_heading=h.tyjcwt">
            <w:r>
              <w:rPr>
                <w:smallCaps/>
                <w:color w:val="000000"/>
              </w:rPr>
              <w:t>3.</w:t>
            </w:r>
          </w:hyperlink>
          <w:hyperlink w:anchor="_heading=h.tyjcwt">
            <w:r>
              <w:rPr>
                <w:color w:val="000000"/>
              </w:rPr>
              <w:tab/>
            </w:r>
          </w:hyperlink>
          <w:r>
            <w:fldChar w:fldCharType="begin"/>
          </w:r>
          <w:r>
            <w:instrText xml:space="preserve"> PAGEREF _heading=h.tyjcwt \h </w:instrText>
          </w:r>
          <w:r>
            <w:fldChar w:fldCharType="separate"/>
          </w:r>
          <w:r>
            <w:rPr>
              <w:smallCaps/>
              <w:color w:val="000000"/>
            </w:rPr>
            <w:t>OVERVIEW OF THE REQUIREMENT</w:t>
          </w:r>
          <w:r>
            <w:rPr>
              <w:smallCaps/>
              <w:color w:val="000000"/>
            </w:rPr>
            <w:tab/>
            <w:t>4</w:t>
          </w:r>
          <w:hyperlink w:anchor="_heading=h.tyjcwt" w:history="1"/>
        </w:p>
        <w:p w14:paraId="2C21ED3A" w14:textId="77777777" w:rsidR="003B0E73" w:rsidRDefault="00017256">
          <w:pPr>
            <w:pBdr>
              <w:top w:val="nil"/>
              <w:left w:val="nil"/>
              <w:bottom w:val="nil"/>
              <w:right w:val="nil"/>
              <w:between w:val="nil"/>
            </w:pBdr>
            <w:tabs>
              <w:tab w:val="left" w:pos="720"/>
              <w:tab w:val="right" w:pos="9029"/>
            </w:tabs>
            <w:spacing w:after="120"/>
            <w:ind w:left="720" w:hanging="720"/>
            <w:rPr>
              <w:color w:val="000000"/>
            </w:rPr>
          </w:pPr>
          <w:r>
            <w:fldChar w:fldCharType="end"/>
          </w:r>
          <w:hyperlink w:anchor="_heading=h.1t3h5sf">
            <w:r>
              <w:rPr>
                <w:smallCaps/>
                <w:color w:val="000000"/>
              </w:rPr>
              <w:t>4.</w:t>
            </w:r>
          </w:hyperlink>
          <w:hyperlink w:anchor="_heading=h.1t3h5sf">
            <w:r>
              <w:rPr>
                <w:color w:val="000000"/>
              </w:rPr>
              <w:tab/>
            </w:r>
          </w:hyperlink>
          <w:r>
            <w:fldChar w:fldCharType="begin"/>
          </w:r>
          <w:r>
            <w:instrText xml:space="preserve"> PAGEREF _heading=h.1t3h5sf \h </w:instrText>
          </w:r>
          <w:r>
            <w:fldChar w:fldCharType="separate"/>
          </w:r>
          <w:r>
            <w:rPr>
              <w:smallCaps/>
              <w:color w:val="000000"/>
            </w:rPr>
            <w:t>DEFINITIONS</w:t>
          </w:r>
          <w:r>
            <w:rPr>
              <w:smallCaps/>
              <w:color w:val="000000"/>
            </w:rPr>
            <w:tab/>
            <w:t>5</w:t>
          </w:r>
          <w:hyperlink w:anchor="_heading=h.1t3h5sf" w:history="1"/>
        </w:p>
        <w:p w14:paraId="2C968497" w14:textId="77777777" w:rsidR="003B0E73" w:rsidRDefault="00017256">
          <w:pPr>
            <w:pBdr>
              <w:top w:val="nil"/>
              <w:left w:val="nil"/>
              <w:bottom w:val="nil"/>
              <w:right w:val="nil"/>
              <w:between w:val="nil"/>
            </w:pBdr>
            <w:tabs>
              <w:tab w:val="left" w:pos="720"/>
              <w:tab w:val="right" w:pos="9029"/>
            </w:tabs>
            <w:spacing w:after="120"/>
            <w:ind w:left="720" w:hanging="720"/>
            <w:rPr>
              <w:color w:val="000000"/>
            </w:rPr>
          </w:pPr>
          <w:r>
            <w:fldChar w:fldCharType="end"/>
          </w:r>
          <w:hyperlink w:anchor="_heading=h.4d34og8">
            <w:r>
              <w:rPr>
                <w:smallCaps/>
                <w:color w:val="000000"/>
              </w:rPr>
              <w:t>5.</w:t>
            </w:r>
          </w:hyperlink>
          <w:hyperlink w:anchor="_heading=h.4d34og8">
            <w:r>
              <w:rPr>
                <w:color w:val="000000"/>
              </w:rPr>
              <w:tab/>
            </w:r>
          </w:hyperlink>
          <w:r>
            <w:fldChar w:fldCharType="begin"/>
          </w:r>
          <w:r>
            <w:instrText xml:space="preserve"> PAGEREF _heading=h.4d34og8 \h </w:instrText>
          </w:r>
          <w:r>
            <w:fldChar w:fldCharType="separate"/>
          </w:r>
          <w:r>
            <w:rPr>
              <w:smallCaps/>
              <w:color w:val="000000"/>
            </w:rPr>
            <w:t>SCOPE OF REQUIREMENTS</w:t>
          </w:r>
          <w:r>
            <w:rPr>
              <w:smallCaps/>
              <w:color w:val="000000"/>
            </w:rPr>
            <w:tab/>
            <w:t>6</w:t>
          </w:r>
          <w:hyperlink w:anchor="_heading=h.4d34og8" w:history="1"/>
        </w:p>
        <w:p w14:paraId="25696960" w14:textId="77777777" w:rsidR="003B0E73" w:rsidRDefault="00017256">
          <w:pPr>
            <w:pBdr>
              <w:top w:val="nil"/>
              <w:left w:val="nil"/>
              <w:bottom w:val="nil"/>
              <w:right w:val="nil"/>
              <w:between w:val="nil"/>
            </w:pBdr>
            <w:tabs>
              <w:tab w:val="left" w:pos="720"/>
              <w:tab w:val="right" w:pos="9029"/>
            </w:tabs>
            <w:spacing w:after="120"/>
            <w:ind w:left="720" w:hanging="720"/>
            <w:rPr>
              <w:color w:val="000000"/>
            </w:rPr>
          </w:pPr>
          <w:r>
            <w:fldChar w:fldCharType="end"/>
          </w:r>
          <w:hyperlink w:anchor="_heading=h.2s8eyo1">
            <w:r>
              <w:rPr>
                <w:smallCaps/>
                <w:color w:val="000000"/>
              </w:rPr>
              <w:t>6.</w:t>
            </w:r>
          </w:hyperlink>
          <w:hyperlink w:anchor="_heading=h.2s8eyo1">
            <w:r>
              <w:rPr>
                <w:color w:val="000000"/>
              </w:rPr>
              <w:tab/>
            </w:r>
          </w:hyperlink>
          <w:r>
            <w:fldChar w:fldCharType="begin"/>
          </w:r>
          <w:r>
            <w:instrText xml:space="preserve"> PAGEREF _heading=h.2s8eyo1 \h </w:instrText>
          </w:r>
          <w:r>
            <w:fldChar w:fldCharType="separate"/>
          </w:r>
          <w:r>
            <w:rPr>
              <w:smallCaps/>
              <w:color w:val="000000"/>
            </w:rPr>
            <w:t>THE REQUIREMENTS</w:t>
          </w:r>
          <w:r>
            <w:rPr>
              <w:smallCaps/>
              <w:color w:val="000000"/>
            </w:rPr>
            <w:tab/>
            <w:t>7</w:t>
          </w:r>
          <w:hyperlink w:anchor="_heading=h.2s8eyo1" w:history="1"/>
        </w:p>
        <w:p w14:paraId="57FC5D84" w14:textId="77777777" w:rsidR="003B0E73" w:rsidRDefault="00017256">
          <w:pPr>
            <w:pBdr>
              <w:top w:val="nil"/>
              <w:left w:val="nil"/>
              <w:bottom w:val="nil"/>
              <w:right w:val="nil"/>
              <w:between w:val="nil"/>
            </w:pBdr>
            <w:tabs>
              <w:tab w:val="left" w:pos="720"/>
              <w:tab w:val="right" w:pos="9029"/>
            </w:tabs>
            <w:spacing w:after="120"/>
            <w:ind w:left="720" w:hanging="720"/>
            <w:rPr>
              <w:color w:val="000000"/>
            </w:rPr>
          </w:pPr>
          <w:r>
            <w:fldChar w:fldCharType="end"/>
          </w:r>
          <w:hyperlink w:anchor="_heading=h.17dp8vu">
            <w:r>
              <w:rPr>
                <w:smallCaps/>
                <w:color w:val="000000"/>
              </w:rPr>
              <w:t>7.</w:t>
            </w:r>
          </w:hyperlink>
          <w:hyperlink w:anchor="_heading=h.17dp8vu">
            <w:r>
              <w:rPr>
                <w:color w:val="000000"/>
              </w:rPr>
              <w:tab/>
            </w:r>
          </w:hyperlink>
          <w:r>
            <w:fldChar w:fldCharType="begin"/>
          </w:r>
          <w:r>
            <w:instrText xml:space="preserve"> PAGEREF _heading=h.17dp8vu \h </w:instrText>
          </w:r>
          <w:r>
            <w:fldChar w:fldCharType="separate"/>
          </w:r>
          <w:r>
            <w:rPr>
              <w:smallCaps/>
              <w:color w:val="000000"/>
            </w:rPr>
            <w:t>KEY MILESTONES AND DELIVERABLES</w:t>
          </w:r>
          <w:r>
            <w:rPr>
              <w:smallCaps/>
              <w:color w:val="000000"/>
            </w:rPr>
            <w:tab/>
            <w:t>17</w:t>
          </w:r>
          <w:hyperlink w:anchor="_heading=h.17dp8vu" w:history="1"/>
        </w:p>
        <w:p w14:paraId="079C8266" w14:textId="77777777" w:rsidR="003B0E73" w:rsidRDefault="00017256">
          <w:pPr>
            <w:pBdr>
              <w:top w:val="nil"/>
              <w:left w:val="nil"/>
              <w:bottom w:val="nil"/>
              <w:right w:val="nil"/>
              <w:between w:val="nil"/>
            </w:pBdr>
            <w:tabs>
              <w:tab w:val="left" w:pos="720"/>
              <w:tab w:val="right" w:pos="9029"/>
            </w:tabs>
            <w:spacing w:after="120"/>
            <w:ind w:left="720" w:hanging="720"/>
            <w:rPr>
              <w:color w:val="000000"/>
            </w:rPr>
          </w:pPr>
          <w:r>
            <w:fldChar w:fldCharType="end"/>
          </w:r>
          <w:hyperlink w:anchor="_heading=h.26in1rg">
            <w:r>
              <w:rPr>
                <w:smallCaps/>
                <w:color w:val="000000"/>
              </w:rPr>
              <w:t>8.</w:t>
            </w:r>
          </w:hyperlink>
          <w:hyperlink w:anchor="_heading=h.26in1rg">
            <w:r>
              <w:rPr>
                <w:color w:val="000000"/>
              </w:rPr>
              <w:tab/>
            </w:r>
          </w:hyperlink>
          <w:r>
            <w:fldChar w:fldCharType="begin"/>
          </w:r>
          <w:r>
            <w:instrText xml:space="preserve"> PAGEREF _heading=h.26in1rg \h </w:instrText>
          </w:r>
          <w:r>
            <w:fldChar w:fldCharType="separate"/>
          </w:r>
          <w:r>
            <w:rPr>
              <w:smallCaps/>
              <w:color w:val="000000"/>
            </w:rPr>
            <w:t>MANAGEMENT INFORMATION/REPORTING</w:t>
          </w:r>
          <w:r>
            <w:rPr>
              <w:smallCaps/>
              <w:color w:val="000000"/>
            </w:rPr>
            <w:tab/>
            <w:t>18</w:t>
          </w:r>
          <w:hyperlink w:anchor="_heading=h.26in1rg" w:history="1"/>
        </w:p>
        <w:p w14:paraId="1A4336AF" w14:textId="77777777" w:rsidR="003B0E73" w:rsidRDefault="00017256">
          <w:pPr>
            <w:pBdr>
              <w:top w:val="nil"/>
              <w:left w:val="nil"/>
              <w:bottom w:val="nil"/>
              <w:right w:val="nil"/>
              <w:between w:val="nil"/>
            </w:pBdr>
            <w:tabs>
              <w:tab w:val="left" w:pos="720"/>
              <w:tab w:val="right" w:pos="9029"/>
            </w:tabs>
            <w:spacing w:after="120"/>
            <w:ind w:left="720" w:hanging="720"/>
            <w:rPr>
              <w:color w:val="000000"/>
            </w:rPr>
          </w:pPr>
          <w:r>
            <w:fldChar w:fldCharType="end"/>
          </w:r>
          <w:hyperlink w:anchor="_heading=h.lnxbz9">
            <w:r>
              <w:rPr>
                <w:smallCaps/>
                <w:color w:val="000000"/>
              </w:rPr>
              <w:t>9.</w:t>
            </w:r>
          </w:hyperlink>
          <w:hyperlink w:anchor="_heading=h.lnxbz9">
            <w:r>
              <w:rPr>
                <w:color w:val="000000"/>
              </w:rPr>
              <w:tab/>
            </w:r>
          </w:hyperlink>
          <w:r>
            <w:fldChar w:fldCharType="begin"/>
          </w:r>
          <w:r>
            <w:instrText xml:space="preserve"> PAGEREF _heading=h.lnxbz9 \h </w:instrText>
          </w:r>
          <w:r>
            <w:fldChar w:fldCharType="separate"/>
          </w:r>
          <w:r>
            <w:rPr>
              <w:smallCaps/>
              <w:color w:val="000000"/>
            </w:rPr>
            <w:t>volumes</w:t>
          </w:r>
          <w:r>
            <w:rPr>
              <w:smallCaps/>
              <w:color w:val="000000"/>
            </w:rPr>
            <w:tab/>
            <w:t>19</w:t>
          </w:r>
          <w:hyperlink w:anchor="_heading=h.lnxbz9" w:history="1"/>
        </w:p>
        <w:p w14:paraId="1F9590D2" w14:textId="77777777" w:rsidR="003B0E73" w:rsidRDefault="00017256">
          <w:pPr>
            <w:pBdr>
              <w:top w:val="nil"/>
              <w:left w:val="nil"/>
              <w:bottom w:val="nil"/>
              <w:right w:val="nil"/>
              <w:between w:val="nil"/>
            </w:pBdr>
            <w:tabs>
              <w:tab w:val="left" w:pos="720"/>
              <w:tab w:val="right" w:pos="9029"/>
            </w:tabs>
            <w:spacing w:after="120"/>
            <w:ind w:left="720" w:hanging="720"/>
            <w:rPr>
              <w:color w:val="000000"/>
            </w:rPr>
          </w:pPr>
          <w:r>
            <w:fldChar w:fldCharType="end"/>
          </w:r>
          <w:hyperlink w:anchor="_heading=h.35nkun2">
            <w:r>
              <w:rPr>
                <w:smallCaps/>
                <w:color w:val="000000"/>
              </w:rPr>
              <w:t>10.</w:t>
            </w:r>
          </w:hyperlink>
          <w:hyperlink w:anchor="_heading=h.35nkun2">
            <w:r>
              <w:rPr>
                <w:color w:val="000000"/>
              </w:rPr>
              <w:tab/>
            </w:r>
          </w:hyperlink>
          <w:r>
            <w:fldChar w:fldCharType="begin"/>
          </w:r>
          <w:r>
            <w:instrText xml:space="preserve"> PAGEREF _heading=h.35nkun2 \h </w:instrText>
          </w:r>
          <w:r>
            <w:fldChar w:fldCharType="separate"/>
          </w:r>
          <w:r>
            <w:rPr>
              <w:smallCaps/>
              <w:color w:val="000000"/>
            </w:rPr>
            <w:t>continuous improvement</w:t>
          </w:r>
          <w:r>
            <w:rPr>
              <w:smallCaps/>
              <w:color w:val="000000"/>
            </w:rPr>
            <w:tab/>
            <w:t>19</w:t>
          </w:r>
          <w:hyperlink w:anchor="_heading=h.35nkun2" w:history="1"/>
        </w:p>
        <w:p w14:paraId="47E19970" w14:textId="77777777" w:rsidR="003B0E73" w:rsidRDefault="00017256">
          <w:pPr>
            <w:pBdr>
              <w:top w:val="nil"/>
              <w:left w:val="nil"/>
              <w:bottom w:val="nil"/>
              <w:right w:val="nil"/>
              <w:between w:val="nil"/>
            </w:pBdr>
            <w:tabs>
              <w:tab w:val="left" w:pos="720"/>
              <w:tab w:val="right" w:pos="9029"/>
            </w:tabs>
            <w:spacing w:after="120"/>
            <w:ind w:left="720" w:hanging="720"/>
            <w:rPr>
              <w:color w:val="000000"/>
            </w:rPr>
          </w:pPr>
          <w:r>
            <w:fldChar w:fldCharType="end"/>
          </w:r>
          <w:hyperlink w:anchor="_heading=h.1ksv4uv">
            <w:r>
              <w:rPr>
                <w:smallCaps/>
                <w:color w:val="000000"/>
              </w:rPr>
              <w:t>11.</w:t>
            </w:r>
          </w:hyperlink>
          <w:hyperlink w:anchor="_heading=h.1ksv4uv">
            <w:r>
              <w:rPr>
                <w:color w:val="000000"/>
              </w:rPr>
              <w:tab/>
            </w:r>
          </w:hyperlink>
          <w:r>
            <w:fldChar w:fldCharType="begin"/>
          </w:r>
          <w:r>
            <w:instrText xml:space="preserve"> PAGEREF _heading=h.1ksv4uv \h </w:instrText>
          </w:r>
          <w:r>
            <w:fldChar w:fldCharType="separate"/>
          </w:r>
          <w:r>
            <w:rPr>
              <w:smallCaps/>
              <w:color w:val="000000"/>
            </w:rPr>
            <w:t>Sustainability</w:t>
          </w:r>
          <w:r>
            <w:rPr>
              <w:smallCaps/>
              <w:color w:val="000000"/>
            </w:rPr>
            <w:tab/>
            <w:t>19</w:t>
          </w:r>
          <w:hyperlink w:anchor="_heading=h.1ksv4uv" w:history="1"/>
        </w:p>
        <w:p w14:paraId="34C82CAA" w14:textId="77777777" w:rsidR="003B0E73" w:rsidRDefault="00017256">
          <w:pPr>
            <w:pBdr>
              <w:top w:val="nil"/>
              <w:left w:val="nil"/>
              <w:bottom w:val="nil"/>
              <w:right w:val="nil"/>
              <w:between w:val="nil"/>
            </w:pBdr>
            <w:tabs>
              <w:tab w:val="left" w:pos="720"/>
              <w:tab w:val="right" w:pos="9029"/>
            </w:tabs>
            <w:spacing w:after="120"/>
            <w:ind w:left="720" w:hanging="720"/>
            <w:rPr>
              <w:color w:val="000000"/>
            </w:rPr>
          </w:pPr>
          <w:r>
            <w:fldChar w:fldCharType="end"/>
          </w:r>
          <w:hyperlink w:anchor="_heading=h.44sinio">
            <w:r>
              <w:rPr>
                <w:smallCaps/>
                <w:color w:val="000000"/>
              </w:rPr>
              <w:t>12.</w:t>
            </w:r>
          </w:hyperlink>
          <w:hyperlink w:anchor="_heading=h.44sinio">
            <w:r>
              <w:rPr>
                <w:color w:val="000000"/>
              </w:rPr>
              <w:tab/>
            </w:r>
          </w:hyperlink>
          <w:r>
            <w:fldChar w:fldCharType="begin"/>
          </w:r>
          <w:r>
            <w:instrText xml:space="preserve"> PAGEREF _heading=h.44sinio \h </w:instrText>
          </w:r>
          <w:r>
            <w:fldChar w:fldCharType="separate"/>
          </w:r>
          <w:r>
            <w:rPr>
              <w:smallCaps/>
              <w:color w:val="000000"/>
            </w:rPr>
            <w:t>QUALITY</w:t>
          </w:r>
          <w:r>
            <w:rPr>
              <w:smallCaps/>
              <w:color w:val="000000"/>
            </w:rPr>
            <w:tab/>
            <w:t>19</w:t>
          </w:r>
          <w:hyperlink w:anchor="_heading=h.44sinio" w:history="1"/>
        </w:p>
        <w:p w14:paraId="7E663A77" w14:textId="77777777" w:rsidR="003B0E73" w:rsidRDefault="00017256">
          <w:pPr>
            <w:pBdr>
              <w:top w:val="nil"/>
              <w:left w:val="nil"/>
              <w:bottom w:val="nil"/>
              <w:right w:val="nil"/>
              <w:between w:val="nil"/>
            </w:pBdr>
            <w:tabs>
              <w:tab w:val="left" w:pos="720"/>
              <w:tab w:val="right" w:pos="9029"/>
            </w:tabs>
            <w:spacing w:after="120"/>
            <w:ind w:left="720" w:hanging="720"/>
            <w:rPr>
              <w:color w:val="000000"/>
            </w:rPr>
          </w:pPr>
          <w:r>
            <w:fldChar w:fldCharType="end"/>
          </w:r>
          <w:hyperlink w:anchor="_heading=h.2jxsxqh">
            <w:r>
              <w:rPr>
                <w:smallCaps/>
                <w:color w:val="000000"/>
              </w:rPr>
              <w:t>13.</w:t>
            </w:r>
          </w:hyperlink>
          <w:hyperlink w:anchor="_heading=h.2jxsxqh">
            <w:r>
              <w:rPr>
                <w:color w:val="000000"/>
              </w:rPr>
              <w:tab/>
            </w:r>
          </w:hyperlink>
          <w:r>
            <w:fldChar w:fldCharType="begin"/>
          </w:r>
          <w:r>
            <w:instrText xml:space="preserve"> PAGEREF _heading=h.2jxsxqh \h </w:instrText>
          </w:r>
          <w:r>
            <w:fldChar w:fldCharType="separate"/>
          </w:r>
          <w:r>
            <w:rPr>
              <w:smallCaps/>
              <w:color w:val="000000"/>
            </w:rPr>
            <w:t>PRICE</w:t>
          </w:r>
          <w:r>
            <w:rPr>
              <w:smallCaps/>
              <w:color w:val="000000"/>
            </w:rPr>
            <w:tab/>
            <w:t>21</w:t>
          </w:r>
          <w:hyperlink w:anchor="_heading=h.2jxsxqh" w:history="1"/>
        </w:p>
        <w:p w14:paraId="32DDD6BA" w14:textId="77777777" w:rsidR="003B0E73" w:rsidRDefault="00017256">
          <w:pPr>
            <w:pBdr>
              <w:top w:val="nil"/>
              <w:left w:val="nil"/>
              <w:bottom w:val="nil"/>
              <w:right w:val="nil"/>
              <w:between w:val="nil"/>
            </w:pBdr>
            <w:tabs>
              <w:tab w:val="left" w:pos="720"/>
              <w:tab w:val="right" w:pos="9029"/>
            </w:tabs>
            <w:spacing w:after="120"/>
            <w:ind w:left="720" w:hanging="720"/>
            <w:rPr>
              <w:color w:val="000000"/>
            </w:rPr>
          </w:pPr>
          <w:r>
            <w:fldChar w:fldCharType="end"/>
          </w:r>
          <w:hyperlink w:anchor="_heading=h.z337ya">
            <w:r>
              <w:rPr>
                <w:smallCaps/>
                <w:color w:val="000000"/>
              </w:rPr>
              <w:t>14.</w:t>
            </w:r>
          </w:hyperlink>
          <w:hyperlink w:anchor="_heading=h.z337ya">
            <w:r>
              <w:rPr>
                <w:color w:val="000000"/>
              </w:rPr>
              <w:tab/>
            </w:r>
          </w:hyperlink>
          <w:r>
            <w:fldChar w:fldCharType="begin"/>
          </w:r>
          <w:r>
            <w:instrText xml:space="preserve"> PAGEREF _heading=h.z337ya \h </w:instrText>
          </w:r>
          <w:r>
            <w:fldChar w:fldCharType="separate"/>
          </w:r>
          <w:r>
            <w:rPr>
              <w:smallCaps/>
              <w:color w:val="000000"/>
            </w:rPr>
            <w:t>STAFF AND CUSTOMER SERVICE</w:t>
          </w:r>
          <w:r>
            <w:rPr>
              <w:smallCaps/>
              <w:color w:val="000000"/>
            </w:rPr>
            <w:tab/>
            <w:t>21</w:t>
          </w:r>
          <w:hyperlink w:anchor="_heading=h.z337ya" w:history="1"/>
        </w:p>
        <w:p w14:paraId="03835BD7" w14:textId="77777777" w:rsidR="003B0E73" w:rsidRDefault="00017256">
          <w:pPr>
            <w:pBdr>
              <w:top w:val="nil"/>
              <w:left w:val="nil"/>
              <w:bottom w:val="nil"/>
              <w:right w:val="nil"/>
              <w:between w:val="nil"/>
            </w:pBdr>
            <w:tabs>
              <w:tab w:val="left" w:pos="720"/>
              <w:tab w:val="right" w:pos="9029"/>
            </w:tabs>
            <w:spacing w:after="120"/>
            <w:ind w:left="720" w:hanging="720"/>
            <w:rPr>
              <w:color w:val="000000"/>
            </w:rPr>
          </w:pPr>
          <w:r>
            <w:fldChar w:fldCharType="end"/>
          </w:r>
          <w:hyperlink w:anchor="_heading=h.3j2qqm3">
            <w:r>
              <w:rPr>
                <w:smallCaps/>
                <w:color w:val="000000"/>
              </w:rPr>
              <w:t>15.</w:t>
            </w:r>
          </w:hyperlink>
          <w:hyperlink w:anchor="_heading=h.3j2qqm3">
            <w:r>
              <w:rPr>
                <w:color w:val="000000"/>
              </w:rPr>
              <w:tab/>
            </w:r>
          </w:hyperlink>
          <w:r>
            <w:fldChar w:fldCharType="begin"/>
          </w:r>
          <w:r>
            <w:instrText xml:space="preserve"> PAGEREF _heading=h.3j2qqm3 \h </w:instrText>
          </w:r>
          <w:r>
            <w:fldChar w:fldCharType="separate"/>
          </w:r>
          <w:r>
            <w:rPr>
              <w:smallCaps/>
              <w:color w:val="000000"/>
            </w:rPr>
            <w:t>SERVICE LEVELS AND PERFORMANCE</w:t>
          </w:r>
          <w:r>
            <w:rPr>
              <w:smallCaps/>
              <w:color w:val="000000"/>
            </w:rPr>
            <w:tab/>
            <w:t>21</w:t>
          </w:r>
          <w:hyperlink w:anchor="_heading=h.3j2qqm3" w:history="1"/>
        </w:p>
        <w:p w14:paraId="6166F868" w14:textId="77777777" w:rsidR="003B0E73" w:rsidRDefault="00017256">
          <w:pPr>
            <w:pBdr>
              <w:top w:val="nil"/>
              <w:left w:val="nil"/>
              <w:bottom w:val="nil"/>
              <w:right w:val="nil"/>
              <w:between w:val="nil"/>
            </w:pBdr>
            <w:tabs>
              <w:tab w:val="left" w:pos="720"/>
              <w:tab w:val="right" w:pos="9029"/>
            </w:tabs>
            <w:spacing w:after="120"/>
            <w:ind w:left="720" w:hanging="720"/>
            <w:rPr>
              <w:color w:val="000000"/>
            </w:rPr>
          </w:pPr>
          <w:r>
            <w:fldChar w:fldCharType="end"/>
          </w:r>
          <w:hyperlink w:anchor="_heading=h.4i7ojhp">
            <w:r>
              <w:rPr>
                <w:smallCaps/>
                <w:color w:val="000000"/>
              </w:rPr>
              <w:t>16.</w:t>
            </w:r>
          </w:hyperlink>
          <w:hyperlink w:anchor="_heading=h.4i7ojhp">
            <w:r>
              <w:rPr>
                <w:color w:val="000000"/>
              </w:rPr>
              <w:tab/>
            </w:r>
          </w:hyperlink>
          <w:r>
            <w:fldChar w:fldCharType="begin"/>
          </w:r>
          <w:r>
            <w:instrText xml:space="preserve"> PAGEREF _heading=h.4i7ojhp \h </w:instrText>
          </w:r>
          <w:r>
            <w:fldChar w:fldCharType="separate"/>
          </w:r>
          <w:r>
            <w:rPr>
              <w:smallCaps/>
              <w:color w:val="000000"/>
            </w:rPr>
            <w:t>SECURITY AND CONFIDENTIALITY REQUIREMENTS</w:t>
          </w:r>
          <w:r>
            <w:rPr>
              <w:smallCaps/>
              <w:color w:val="000000"/>
            </w:rPr>
            <w:tab/>
            <w:t>22</w:t>
          </w:r>
          <w:hyperlink w:anchor="_heading=h.4i7ojhp" w:history="1"/>
        </w:p>
        <w:p w14:paraId="46549B8D" w14:textId="77777777" w:rsidR="003B0E73" w:rsidRDefault="00017256">
          <w:pPr>
            <w:pBdr>
              <w:top w:val="nil"/>
              <w:left w:val="nil"/>
              <w:bottom w:val="nil"/>
              <w:right w:val="nil"/>
              <w:between w:val="nil"/>
            </w:pBdr>
            <w:tabs>
              <w:tab w:val="left" w:pos="720"/>
              <w:tab w:val="right" w:pos="9029"/>
            </w:tabs>
            <w:spacing w:after="120"/>
            <w:ind w:left="720" w:hanging="720"/>
            <w:rPr>
              <w:color w:val="000000"/>
            </w:rPr>
          </w:pPr>
          <w:r>
            <w:fldChar w:fldCharType="end"/>
          </w:r>
          <w:hyperlink w:anchor="_heading=h.2xcytpi">
            <w:r>
              <w:rPr>
                <w:smallCaps/>
                <w:color w:val="000000"/>
              </w:rPr>
              <w:t>17.</w:t>
            </w:r>
          </w:hyperlink>
          <w:hyperlink w:anchor="_heading=h.2xcytpi">
            <w:r>
              <w:rPr>
                <w:color w:val="000000"/>
              </w:rPr>
              <w:tab/>
            </w:r>
          </w:hyperlink>
          <w:r>
            <w:fldChar w:fldCharType="begin"/>
          </w:r>
          <w:r>
            <w:instrText xml:space="preserve"> PAGEREF _heading=h.2xcytpi \h </w:instrText>
          </w:r>
          <w:r>
            <w:fldChar w:fldCharType="separate"/>
          </w:r>
          <w:r>
            <w:rPr>
              <w:smallCaps/>
              <w:color w:val="000000"/>
            </w:rPr>
            <w:t>PAYMENT AND INVOICING</w:t>
          </w:r>
          <w:r>
            <w:rPr>
              <w:smallCaps/>
              <w:color w:val="000000"/>
            </w:rPr>
            <w:tab/>
            <w:t>22</w:t>
          </w:r>
          <w:hyperlink w:anchor="_heading=h.2xcytpi" w:history="1"/>
        </w:p>
        <w:p w14:paraId="36E04E09" w14:textId="77777777" w:rsidR="003B0E73" w:rsidRDefault="00017256">
          <w:pPr>
            <w:pBdr>
              <w:top w:val="nil"/>
              <w:left w:val="nil"/>
              <w:bottom w:val="nil"/>
              <w:right w:val="nil"/>
              <w:between w:val="nil"/>
            </w:pBdr>
            <w:tabs>
              <w:tab w:val="left" w:pos="720"/>
              <w:tab w:val="right" w:pos="9029"/>
            </w:tabs>
            <w:spacing w:after="120"/>
            <w:ind w:left="720" w:hanging="720"/>
            <w:rPr>
              <w:color w:val="000000"/>
            </w:rPr>
          </w:pPr>
          <w:r>
            <w:fldChar w:fldCharType="end"/>
          </w:r>
          <w:hyperlink w:anchor="_heading=h.1ci93xb">
            <w:r>
              <w:rPr>
                <w:smallCaps/>
                <w:color w:val="000000"/>
              </w:rPr>
              <w:t>18.</w:t>
            </w:r>
          </w:hyperlink>
          <w:hyperlink w:anchor="_heading=h.1ci93xb">
            <w:r>
              <w:rPr>
                <w:color w:val="000000"/>
              </w:rPr>
              <w:tab/>
            </w:r>
          </w:hyperlink>
          <w:r>
            <w:fldChar w:fldCharType="begin"/>
          </w:r>
          <w:r>
            <w:instrText xml:space="preserve"> PAGEREF _heading=h.1ci93xb \h </w:instrText>
          </w:r>
          <w:r>
            <w:fldChar w:fldCharType="separate"/>
          </w:r>
          <w:r>
            <w:rPr>
              <w:smallCaps/>
              <w:color w:val="000000"/>
            </w:rPr>
            <w:t>CONTRACT MANAGEMENT</w:t>
          </w:r>
          <w:r>
            <w:rPr>
              <w:smallCaps/>
              <w:color w:val="000000"/>
            </w:rPr>
            <w:tab/>
            <w:t>23</w:t>
          </w:r>
          <w:hyperlink w:anchor="_heading=h.1ci93xb" w:history="1"/>
        </w:p>
        <w:p w14:paraId="561E72A1" w14:textId="77777777" w:rsidR="003B0E73" w:rsidRDefault="00017256">
          <w:pPr>
            <w:pBdr>
              <w:top w:val="nil"/>
              <w:left w:val="nil"/>
              <w:bottom w:val="nil"/>
              <w:right w:val="nil"/>
              <w:between w:val="nil"/>
            </w:pBdr>
            <w:tabs>
              <w:tab w:val="left" w:pos="720"/>
              <w:tab w:val="right" w:pos="9029"/>
            </w:tabs>
            <w:spacing w:after="120"/>
            <w:ind w:left="720" w:hanging="720"/>
            <w:rPr>
              <w:color w:val="000000"/>
            </w:rPr>
          </w:pPr>
          <w:r>
            <w:fldChar w:fldCharType="end"/>
          </w:r>
          <w:hyperlink w:anchor="_heading=h.3whwml4">
            <w:r>
              <w:rPr>
                <w:smallCaps/>
                <w:color w:val="000000"/>
              </w:rPr>
              <w:t>19.</w:t>
            </w:r>
          </w:hyperlink>
          <w:hyperlink w:anchor="_heading=h.3whwml4">
            <w:r>
              <w:rPr>
                <w:color w:val="000000"/>
              </w:rPr>
              <w:tab/>
            </w:r>
          </w:hyperlink>
          <w:r>
            <w:fldChar w:fldCharType="begin"/>
          </w:r>
          <w:r>
            <w:instrText xml:space="preserve"> PAGEREF _heading=h.3whwml4 \h </w:instrText>
          </w:r>
          <w:r>
            <w:fldChar w:fldCharType="separate"/>
          </w:r>
          <w:r>
            <w:rPr>
              <w:smallCaps/>
              <w:color w:val="000000"/>
            </w:rPr>
            <w:t>LOCATION</w:t>
          </w:r>
          <w:r>
            <w:rPr>
              <w:smallCaps/>
              <w:color w:val="000000"/>
            </w:rPr>
            <w:tab/>
            <w:t>23</w:t>
          </w:r>
          <w:hyperlink w:anchor="_heading=h.3whwml4" w:history="1"/>
        </w:p>
        <w:p w14:paraId="69206FA4" w14:textId="77777777" w:rsidR="003B0E73" w:rsidRDefault="00017256">
          <w:pPr>
            <w:widowControl w:val="0"/>
            <w:tabs>
              <w:tab w:val="right" w:pos="12000"/>
            </w:tabs>
            <w:spacing w:before="60"/>
            <w:rPr>
              <w:b/>
              <w:color w:val="000000"/>
            </w:rPr>
          </w:pPr>
          <w:r>
            <w:fldChar w:fldCharType="end"/>
          </w:r>
          <w:r>
            <w:fldChar w:fldCharType="end"/>
          </w:r>
        </w:p>
      </w:sdtContent>
    </w:sdt>
    <w:p w14:paraId="1C67C8A9" w14:textId="77777777" w:rsidR="003B0E73" w:rsidRDefault="00017256">
      <w:pPr>
        <w:pStyle w:val="Heading1"/>
        <w:spacing w:after="120"/>
        <w:ind w:left="0" w:firstLine="0"/>
      </w:pPr>
      <w:bookmarkStart w:id="3" w:name="_heading=h.30j0zll" w:colFirst="0" w:colLast="0"/>
      <w:bookmarkEnd w:id="3"/>
      <w:r>
        <w:br w:type="page"/>
      </w:r>
    </w:p>
    <w:p w14:paraId="5489CC51" w14:textId="77777777" w:rsidR="003B0E73" w:rsidRDefault="00017256">
      <w:pPr>
        <w:pStyle w:val="Heading1"/>
        <w:numPr>
          <w:ilvl w:val="0"/>
          <w:numId w:val="4"/>
        </w:numPr>
        <w:rPr>
          <w:sz w:val="32"/>
          <w:szCs w:val="32"/>
        </w:rPr>
      </w:pPr>
      <w:bookmarkStart w:id="4" w:name="_heading=h.1fob9te" w:colFirst="0" w:colLast="0"/>
      <w:bookmarkEnd w:id="4"/>
      <w:r>
        <w:rPr>
          <w:sz w:val="32"/>
          <w:szCs w:val="32"/>
        </w:rPr>
        <w:lastRenderedPageBreak/>
        <w:t>PURPOSE</w:t>
      </w:r>
    </w:p>
    <w:p w14:paraId="45701FDC" w14:textId="77777777" w:rsidR="003B0E73" w:rsidRDefault="00017256">
      <w:pPr>
        <w:pStyle w:val="Heading2"/>
        <w:numPr>
          <w:ilvl w:val="1"/>
          <w:numId w:val="4"/>
        </w:numPr>
      </w:pPr>
      <w:bookmarkStart w:id="5" w:name="_heading=h.45szymgp83d6" w:colFirst="0" w:colLast="0"/>
      <w:bookmarkEnd w:id="5"/>
      <w:r>
        <w:rPr>
          <w:sz w:val="24"/>
          <w:szCs w:val="24"/>
        </w:rPr>
        <w:t>The Office for Equality &amp; Opportunity (OEO), within the Cabinet Office (referred to hereafter as the Contracting Authority or the Authority), leads on equality policy including gender equality, race equality, LGBT+ equality, disability equality, socio-economic equality, and the overall framework of equality legislation for the UK. The OEO is central to the government’s commitment to ensuring that every person, no matter their background, has access to the opportunities that allow them to thrive and be treated with respect and dignity.</w:t>
      </w:r>
    </w:p>
    <w:p w14:paraId="79830BFE" w14:textId="77777777" w:rsidR="003B0E73" w:rsidRDefault="00017256">
      <w:pPr>
        <w:pStyle w:val="Heading2"/>
        <w:numPr>
          <w:ilvl w:val="1"/>
          <w:numId w:val="4"/>
        </w:numPr>
      </w:pPr>
      <w:bookmarkStart w:id="6" w:name="_heading=h.3znysh7" w:colFirst="0" w:colLast="0"/>
      <w:bookmarkEnd w:id="6"/>
      <w:r>
        <w:rPr>
          <w:sz w:val="24"/>
          <w:szCs w:val="24"/>
        </w:rPr>
        <w:t>This Service Description relates to research that is to be undertaken to support policy development and decision making around the gender pay gap (GPG). The broad aim of this research is to understand the causes of the gender pay gap in the UK. The key objectives are:</w:t>
      </w:r>
    </w:p>
    <w:p w14:paraId="336FFDA5" w14:textId="77777777" w:rsidR="003B0E73" w:rsidRDefault="00017256">
      <w:pPr>
        <w:pStyle w:val="Heading2"/>
        <w:numPr>
          <w:ilvl w:val="1"/>
          <w:numId w:val="5"/>
        </w:numPr>
        <w:ind w:left="720" w:firstLine="2552"/>
      </w:pPr>
      <w:r>
        <w:rPr>
          <w:b/>
          <w:sz w:val="24"/>
          <w:szCs w:val="24"/>
        </w:rPr>
        <w:t>1.3 Objective 1: Explore the drivers of the GPG and identify barriers and enablers.</w:t>
      </w:r>
    </w:p>
    <w:p w14:paraId="6A626BD8" w14:textId="77777777" w:rsidR="003B0E73" w:rsidRDefault="00017256">
      <w:pPr>
        <w:pStyle w:val="Heading2"/>
        <w:numPr>
          <w:ilvl w:val="1"/>
          <w:numId w:val="5"/>
        </w:numPr>
        <w:ind w:left="993" w:firstLine="2552"/>
        <w:rPr>
          <w:sz w:val="24"/>
          <w:szCs w:val="24"/>
        </w:rPr>
      </w:pPr>
      <w:r>
        <w:rPr>
          <w:sz w:val="24"/>
          <w:szCs w:val="24"/>
        </w:rPr>
        <w:t>1.3.1 Research questions:</w:t>
      </w:r>
    </w:p>
    <w:p w14:paraId="5CD0338E" w14:textId="77777777" w:rsidR="003B0E73" w:rsidRDefault="00017256">
      <w:pPr>
        <w:pStyle w:val="Heading2"/>
        <w:numPr>
          <w:ilvl w:val="0"/>
          <w:numId w:val="11"/>
        </w:numPr>
        <w:rPr>
          <w:sz w:val="24"/>
          <w:szCs w:val="24"/>
        </w:rPr>
      </w:pPr>
      <w:r>
        <w:rPr>
          <w:sz w:val="24"/>
          <w:szCs w:val="24"/>
        </w:rPr>
        <w:t>What are the drivers and protective factors of the GPG?</w:t>
      </w:r>
    </w:p>
    <w:p w14:paraId="3A56B29E" w14:textId="77777777" w:rsidR="003B0E73" w:rsidRDefault="00017256">
      <w:pPr>
        <w:pStyle w:val="Heading2"/>
        <w:numPr>
          <w:ilvl w:val="0"/>
          <w:numId w:val="11"/>
        </w:numPr>
        <w:rPr>
          <w:sz w:val="24"/>
          <w:szCs w:val="24"/>
        </w:rPr>
      </w:pPr>
      <w:r>
        <w:rPr>
          <w:sz w:val="24"/>
          <w:szCs w:val="24"/>
        </w:rPr>
        <w:t>What is their relative importance in driving GPG?</w:t>
      </w:r>
    </w:p>
    <w:p w14:paraId="2B0F1DAF" w14:textId="77777777" w:rsidR="003B0E73" w:rsidRDefault="00017256">
      <w:pPr>
        <w:pStyle w:val="Heading2"/>
        <w:numPr>
          <w:ilvl w:val="0"/>
          <w:numId w:val="11"/>
        </w:numPr>
        <w:rPr>
          <w:sz w:val="24"/>
          <w:szCs w:val="24"/>
        </w:rPr>
      </w:pPr>
      <w:r>
        <w:rPr>
          <w:sz w:val="24"/>
          <w:szCs w:val="24"/>
        </w:rPr>
        <w:t>How has the relative importance of the drivers and protective factors changed over time?</w:t>
      </w:r>
    </w:p>
    <w:p w14:paraId="7DF28495" w14:textId="77777777" w:rsidR="003B0E73" w:rsidRDefault="00017256">
      <w:pPr>
        <w:pStyle w:val="Heading2"/>
        <w:numPr>
          <w:ilvl w:val="1"/>
          <w:numId w:val="5"/>
        </w:numPr>
        <w:ind w:left="720" w:firstLine="2552"/>
        <w:rPr>
          <w:b/>
          <w:sz w:val="24"/>
          <w:szCs w:val="24"/>
        </w:rPr>
      </w:pPr>
      <w:r>
        <w:rPr>
          <w:b/>
          <w:sz w:val="24"/>
          <w:szCs w:val="24"/>
        </w:rPr>
        <w:t xml:space="preserve">1.4 Objective 2: Assess the decomposition analysis findings to understand how the GPG can be reduced. </w:t>
      </w:r>
    </w:p>
    <w:p w14:paraId="5BD5494E" w14:textId="77777777" w:rsidR="003B0E73" w:rsidRDefault="00017256">
      <w:pPr>
        <w:pStyle w:val="Heading2"/>
        <w:numPr>
          <w:ilvl w:val="1"/>
          <w:numId w:val="5"/>
        </w:numPr>
        <w:ind w:left="993" w:firstLine="2552"/>
        <w:rPr>
          <w:sz w:val="24"/>
          <w:szCs w:val="24"/>
        </w:rPr>
      </w:pPr>
      <w:r>
        <w:rPr>
          <w:sz w:val="24"/>
          <w:szCs w:val="24"/>
        </w:rPr>
        <w:t>1.4.1 Research questions:</w:t>
      </w:r>
    </w:p>
    <w:p w14:paraId="206A14DF" w14:textId="77777777" w:rsidR="003B0E73" w:rsidRDefault="00017256">
      <w:pPr>
        <w:pStyle w:val="Heading2"/>
        <w:numPr>
          <w:ilvl w:val="0"/>
          <w:numId w:val="11"/>
        </w:numPr>
        <w:pBdr>
          <w:top w:val="nil"/>
          <w:left w:val="nil"/>
          <w:bottom w:val="nil"/>
          <w:right w:val="nil"/>
          <w:between w:val="nil"/>
        </w:pBdr>
        <w:rPr>
          <w:sz w:val="24"/>
          <w:szCs w:val="24"/>
        </w:rPr>
      </w:pPr>
      <w:r>
        <w:rPr>
          <w:sz w:val="24"/>
          <w:szCs w:val="24"/>
        </w:rPr>
        <w:t>Why has the relative importance of the drivers and protective factors of the GPG identified by the decomposition analysis changed over time?</w:t>
      </w:r>
    </w:p>
    <w:p w14:paraId="20AF7931" w14:textId="77777777" w:rsidR="003B0E73" w:rsidRDefault="00017256">
      <w:pPr>
        <w:pStyle w:val="Heading2"/>
        <w:numPr>
          <w:ilvl w:val="0"/>
          <w:numId w:val="11"/>
        </w:numPr>
        <w:pBdr>
          <w:top w:val="nil"/>
          <w:left w:val="nil"/>
          <w:bottom w:val="nil"/>
          <w:right w:val="nil"/>
          <w:between w:val="nil"/>
        </w:pBdr>
        <w:rPr>
          <w:sz w:val="24"/>
          <w:szCs w:val="24"/>
        </w:rPr>
      </w:pPr>
      <w:bookmarkStart w:id="7" w:name="_heading=h.sd057q7d9rn4" w:colFirst="0" w:colLast="0"/>
      <w:bookmarkEnd w:id="7"/>
      <w:r>
        <w:rPr>
          <w:sz w:val="24"/>
          <w:szCs w:val="24"/>
        </w:rPr>
        <w:t>What effective actions can be taken to reduce the identified drivers of the gender pay gap?</w:t>
      </w:r>
    </w:p>
    <w:p w14:paraId="06C91FE6" w14:textId="77777777" w:rsidR="003B0E73" w:rsidRDefault="00017256">
      <w:pPr>
        <w:pStyle w:val="Heading2"/>
        <w:numPr>
          <w:ilvl w:val="0"/>
          <w:numId w:val="11"/>
        </w:numPr>
        <w:pBdr>
          <w:top w:val="nil"/>
          <w:left w:val="nil"/>
          <w:bottom w:val="nil"/>
          <w:right w:val="nil"/>
          <w:between w:val="nil"/>
        </w:pBdr>
        <w:rPr>
          <w:sz w:val="24"/>
          <w:szCs w:val="24"/>
        </w:rPr>
      </w:pPr>
      <w:r>
        <w:rPr>
          <w:sz w:val="24"/>
          <w:szCs w:val="24"/>
        </w:rPr>
        <w:t>What barriers might prevent the actions identified above from being effective?</w:t>
      </w:r>
    </w:p>
    <w:p w14:paraId="6CD97EE3" w14:textId="77777777" w:rsidR="003B0E73" w:rsidRDefault="003B0E73">
      <w:pPr>
        <w:pBdr>
          <w:top w:val="nil"/>
          <w:left w:val="nil"/>
          <w:bottom w:val="nil"/>
          <w:right w:val="nil"/>
          <w:between w:val="nil"/>
        </w:pBdr>
        <w:spacing w:after="240"/>
        <w:ind w:left="720" w:hanging="720"/>
        <w:jc w:val="both"/>
        <w:rPr>
          <w:color w:val="000000"/>
        </w:rPr>
      </w:pPr>
    </w:p>
    <w:p w14:paraId="6EE5BD7A" w14:textId="77777777" w:rsidR="003B0E73" w:rsidRDefault="003B0E73">
      <w:pPr>
        <w:pBdr>
          <w:top w:val="nil"/>
          <w:left w:val="nil"/>
          <w:bottom w:val="nil"/>
          <w:right w:val="nil"/>
          <w:between w:val="nil"/>
        </w:pBdr>
        <w:spacing w:after="240"/>
        <w:ind w:left="720" w:hanging="720"/>
        <w:jc w:val="both"/>
        <w:rPr>
          <w:color w:val="000000"/>
        </w:rPr>
      </w:pPr>
    </w:p>
    <w:p w14:paraId="7EA2EAA0" w14:textId="77777777" w:rsidR="003B0E73" w:rsidRDefault="003B0E73">
      <w:pPr>
        <w:pBdr>
          <w:top w:val="nil"/>
          <w:left w:val="nil"/>
          <w:bottom w:val="nil"/>
          <w:right w:val="nil"/>
          <w:between w:val="nil"/>
        </w:pBdr>
        <w:spacing w:after="240"/>
        <w:ind w:left="720" w:hanging="720"/>
        <w:jc w:val="both"/>
        <w:rPr>
          <w:color w:val="000000"/>
        </w:rPr>
      </w:pPr>
    </w:p>
    <w:p w14:paraId="4B0FFF53" w14:textId="77777777" w:rsidR="003B0E73" w:rsidRDefault="00017256">
      <w:pPr>
        <w:pStyle w:val="Heading2"/>
        <w:numPr>
          <w:ilvl w:val="1"/>
          <w:numId w:val="5"/>
        </w:numPr>
        <w:ind w:left="360"/>
      </w:pPr>
      <w:bookmarkStart w:id="8" w:name="_heading=h.ean4mncddyt3" w:colFirst="0" w:colLast="0"/>
      <w:bookmarkEnd w:id="8"/>
      <w:r>
        <w:rPr>
          <w:b/>
          <w:sz w:val="24"/>
          <w:szCs w:val="24"/>
        </w:rPr>
        <w:lastRenderedPageBreak/>
        <w:t>1.5 Objective 3: Upskill analysts at the Contracting Authority to allow them to independently carry out and interpret decomposition analysis on other equalities issues, such as ethnicity and disability pay gaps.</w:t>
      </w:r>
    </w:p>
    <w:p w14:paraId="3FC2EF17" w14:textId="77777777" w:rsidR="003B0E73" w:rsidRDefault="00017256">
      <w:pPr>
        <w:pStyle w:val="Heading1"/>
        <w:numPr>
          <w:ilvl w:val="0"/>
          <w:numId w:val="4"/>
        </w:numPr>
        <w:rPr>
          <w:sz w:val="32"/>
          <w:szCs w:val="32"/>
        </w:rPr>
      </w:pPr>
      <w:bookmarkStart w:id="9" w:name="_heading=h.2et92p0" w:colFirst="0" w:colLast="0"/>
      <w:bookmarkEnd w:id="9"/>
      <w:r>
        <w:rPr>
          <w:sz w:val="32"/>
          <w:szCs w:val="32"/>
        </w:rPr>
        <w:t>BACKGROUND TO THE CONTRACTING AUTHORITY</w:t>
      </w:r>
    </w:p>
    <w:p w14:paraId="345B1A53" w14:textId="77777777" w:rsidR="003B0E73" w:rsidRDefault="00017256">
      <w:pPr>
        <w:pStyle w:val="Heading2"/>
        <w:numPr>
          <w:ilvl w:val="1"/>
          <w:numId w:val="4"/>
        </w:numPr>
      </w:pPr>
      <w:r>
        <w:rPr>
          <w:sz w:val="24"/>
          <w:szCs w:val="24"/>
        </w:rPr>
        <w:t>The Contracting Authority supports the Prime Minister, and ensures the effective running of government. The Contracting Authority is also the corporate headquarters for the government, in partnership with HM Treasury, and takes the lead in certain critical policy areas. More information about the Contracting Authority can be found on its website</w:t>
      </w:r>
      <w:r>
        <w:rPr>
          <w:sz w:val="24"/>
          <w:szCs w:val="24"/>
          <w:vertAlign w:val="superscript"/>
        </w:rPr>
        <w:footnoteReference w:id="1"/>
      </w:r>
      <w:r>
        <w:rPr>
          <w:sz w:val="24"/>
          <w:szCs w:val="24"/>
        </w:rPr>
        <w:t>.</w:t>
      </w:r>
    </w:p>
    <w:p w14:paraId="260DBB3E" w14:textId="77777777" w:rsidR="003B0E73" w:rsidRDefault="00017256">
      <w:pPr>
        <w:pStyle w:val="Heading2"/>
        <w:numPr>
          <w:ilvl w:val="1"/>
          <w:numId w:val="4"/>
        </w:numPr>
      </w:pPr>
      <w:bookmarkStart w:id="10" w:name="_heading=h.um3m30p3vuty" w:colFirst="0" w:colLast="0"/>
      <w:bookmarkEnd w:id="10"/>
      <w:r>
        <w:rPr>
          <w:sz w:val="24"/>
          <w:szCs w:val="24"/>
        </w:rPr>
        <w:t>The OEO sits within the Contracting Authority. The OEO focuses on disability policy, ethnic disparities, gender equality, LGBT+ rights and the overall framework of equality legislation for the UK including the Equality Act 2010 and sponsorship of the Equality &amp; Human Rights Commission.</w:t>
      </w:r>
    </w:p>
    <w:p w14:paraId="77D5123C" w14:textId="77777777" w:rsidR="003B0E73" w:rsidRDefault="00017256">
      <w:pPr>
        <w:pStyle w:val="Heading1"/>
        <w:numPr>
          <w:ilvl w:val="0"/>
          <w:numId w:val="4"/>
        </w:numPr>
        <w:rPr>
          <w:sz w:val="32"/>
          <w:szCs w:val="32"/>
        </w:rPr>
      </w:pPr>
      <w:bookmarkStart w:id="11" w:name="_heading=h.tyjcwt" w:colFirst="0" w:colLast="0"/>
      <w:bookmarkEnd w:id="11"/>
      <w:r>
        <w:rPr>
          <w:sz w:val="32"/>
          <w:szCs w:val="32"/>
        </w:rPr>
        <w:t>OVERVIEW OF THE REQUIREMENT</w:t>
      </w:r>
    </w:p>
    <w:p w14:paraId="44298A66" w14:textId="77777777" w:rsidR="003B0E73" w:rsidRDefault="00017256">
      <w:pPr>
        <w:pStyle w:val="Heading2"/>
        <w:numPr>
          <w:ilvl w:val="1"/>
          <w:numId w:val="4"/>
        </w:numPr>
        <w:pBdr>
          <w:top w:val="nil"/>
          <w:left w:val="nil"/>
          <w:bottom w:val="nil"/>
          <w:right w:val="nil"/>
          <w:between w:val="nil"/>
        </w:pBdr>
      </w:pPr>
      <w:r>
        <w:rPr>
          <w:sz w:val="24"/>
          <w:szCs w:val="24"/>
        </w:rPr>
        <w:t>Women’s equality is at the heart of this Government’s missions. The ‘Plan to Make Work Pay’ committed to “finishing the business of ending pay discrimination at work” and Mission 4 'Break down the barriers to opportunity’ of the Government’s manifesto states “... Labour will take action to reduce the gender pay gap, building on the legacy of Barbara Castle’s Equal Pay Act”.</w:t>
      </w:r>
    </w:p>
    <w:p w14:paraId="08AF359D" w14:textId="77777777" w:rsidR="003B0E73" w:rsidRDefault="00017256">
      <w:pPr>
        <w:pStyle w:val="Heading2"/>
        <w:numPr>
          <w:ilvl w:val="1"/>
          <w:numId w:val="4"/>
        </w:numPr>
        <w:pBdr>
          <w:top w:val="nil"/>
          <w:left w:val="nil"/>
          <w:bottom w:val="nil"/>
          <w:right w:val="nil"/>
          <w:between w:val="nil"/>
        </w:pBdr>
      </w:pPr>
      <w:r>
        <w:rPr>
          <w:sz w:val="24"/>
          <w:szCs w:val="24"/>
        </w:rPr>
        <w:t>Over 50 years after the Equal Pay Act and 14 years after the Equality Act, there is still a GPG of 13.1%</w:t>
      </w:r>
      <w:r>
        <w:rPr>
          <w:sz w:val="24"/>
          <w:szCs w:val="24"/>
          <w:vertAlign w:val="superscript"/>
        </w:rPr>
        <w:footnoteReference w:id="2"/>
      </w:r>
      <w:r>
        <w:rPr>
          <w:sz w:val="24"/>
          <w:szCs w:val="24"/>
        </w:rPr>
        <w:t>. This has fallen over time but progress has slowed in recent years. Estimates suggest it may take between 20</w:t>
      </w:r>
      <w:r>
        <w:rPr>
          <w:sz w:val="24"/>
          <w:szCs w:val="24"/>
          <w:vertAlign w:val="superscript"/>
        </w:rPr>
        <w:footnoteReference w:id="3"/>
      </w:r>
      <w:r>
        <w:rPr>
          <w:sz w:val="24"/>
          <w:szCs w:val="24"/>
        </w:rPr>
        <w:t xml:space="preserve"> and 45</w:t>
      </w:r>
      <w:r>
        <w:rPr>
          <w:sz w:val="24"/>
          <w:szCs w:val="24"/>
          <w:vertAlign w:val="superscript"/>
        </w:rPr>
        <w:footnoteReference w:id="4"/>
      </w:r>
      <w:r>
        <w:rPr>
          <w:sz w:val="24"/>
          <w:szCs w:val="24"/>
        </w:rPr>
        <w:t xml:space="preserve"> years for the GPG to close completely.</w:t>
      </w:r>
    </w:p>
    <w:p w14:paraId="44A8713F" w14:textId="77777777" w:rsidR="003B0E73" w:rsidRDefault="00017256">
      <w:pPr>
        <w:pStyle w:val="Heading2"/>
        <w:numPr>
          <w:ilvl w:val="1"/>
          <w:numId w:val="4"/>
        </w:numPr>
        <w:pBdr>
          <w:top w:val="nil"/>
          <w:left w:val="nil"/>
          <w:bottom w:val="nil"/>
          <w:right w:val="nil"/>
          <w:between w:val="nil"/>
        </w:pBdr>
      </w:pPr>
      <w:r>
        <w:rPr>
          <w:sz w:val="24"/>
          <w:szCs w:val="24"/>
        </w:rPr>
        <w:t>To accelerate progress, policy and decision makers need a clear understanding of the drivers and protective factors of the GPG</w:t>
      </w:r>
      <w:r>
        <w:rPr>
          <w:sz w:val="24"/>
          <w:szCs w:val="24"/>
          <w:vertAlign w:val="superscript"/>
        </w:rPr>
        <w:footnoteReference w:id="5"/>
      </w:r>
      <w:r>
        <w:rPr>
          <w:sz w:val="24"/>
          <w:szCs w:val="24"/>
        </w:rPr>
        <w:t>.</w:t>
      </w:r>
    </w:p>
    <w:p w14:paraId="0D0D53FC" w14:textId="77777777" w:rsidR="003B0E73" w:rsidRDefault="00017256">
      <w:pPr>
        <w:pStyle w:val="Heading2"/>
        <w:numPr>
          <w:ilvl w:val="2"/>
          <w:numId w:val="4"/>
        </w:numPr>
        <w:pBdr>
          <w:top w:val="nil"/>
          <w:left w:val="nil"/>
          <w:bottom w:val="nil"/>
          <w:right w:val="nil"/>
          <w:between w:val="nil"/>
        </w:pBdr>
        <w:rPr>
          <w:sz w:val="24"/>
          <w:szCs w:val="24"/>
        </w:rPr>
      </w:pPr>
      <w:r>
        <w:rPr>
          <w:sz w:val="24"/>
          <w:szCs w:val="24"/>
        </w:rPr>
        <w:t xml:space="preserve">These are varied and may reflect the impact of misogyny, that women are more likely to be in part-time work, lower-paid work, take career </w:t>
      </w:r>
      <w:r>
        <w:rPr>
          <w:sz w:val="24"/>
          <w:szCs w:val="24"/>
        </w:rPr>
        <w:lastRenderedPageBreak/>
        <w:t>breaks for caring, and are less likely to be represented in senior business positions.</w:t>
      </w:r>
    </w:p>
    <w:p w14:paraId="535B92B5" w14:textId="77777777" w:rsidR="003B0E73" w:rsidRDefault="00017256">
      <w:pPr>
        <w:pStyle w:val="Heading2"/>
        <w:numPr>
          <w:ilvl w:val="2"/>
          <w:numId w:val="4"/>
        </w:numPr>
        <w:pBdr>
          <w:top w:val="nil"/>
          <w:left w:val="nil"/>
          <w:bottom w:val="nil"/>
          <w:right w:val="nil"/>
          <w:between w:val="nil"/>
        </w:pBdr>
        <w:rPr>
          <w:sz w:val="24"/>
          <w:szCs w:val="24"/>
        </w:rPr>
      </w:pPr>
      <w:r>
        <w:rPr>
          <w:sz w:val="24"/>
          <w:szCs w:val="24"/>
        </w:rPr>
        <w:t>In addition to understanding the drivers, it is also important to identify best practices in tackling them in order to ensure any actions are effectively targeted.</w:t>
      </w:r>
    </w:p>
    <w:p w14:paraId="7B181160" w14:textId="77777777" w:rsidR="003B0E73" w:rsidRDefault="00017256">
      <w:pPr>
        <w:pStyle w:val="Heading2"/>
        <w:numPr>
          <w:ilvl w:val="2"/>
          <w:numId w:val="4"/>
        </w:numPr>
        <w:pBdr>
          <w:top w:val="nil"/>
          <w:left w:val="nil"/>
          <w:bottom w:val="nil"/>
          <w:right w:val="nil"/>
          <w:between w:val="nil"/>
        </w:pBdr>
      </w:pPr>
      <w:r>
        <w:rPr>
          <w:sz w:val="24"/>
          <w:szCs w:val="24"/>
        </w:rPr>
        <w:t xml:space="preserve">The Contracting Authority is commissioning a decomposition analysis of the GPG to ensure that current policy discussions are based on the latest data available. The outputs will provide an update of previous work, notably Olsen et al. 2018 ‘The gender pay gap in the UK: evidence from the </w:t>
      </w:r>
      <w:proofErr w:type="gramStart"/>
      <w:r>
        <w:rPr>
          <w:sz w:val="24"/>
          <w:szCs w:val="24"/>
        </w:rPr>
        <w:t>UKHLS‘</w:t>
      </w:r>
      <w:proofErr w:type="gramEnd"/>
      <w:r>
        <w:rPr>
          <w:sz w:val="24"/>
          <w:szCs w:val="24"/>
          <w:vertAlign w:val="superscript"/>
        </w:rPr>
        <w:footnoteReference w:id="6"/>
      </w:r>
      <w:r>
        <w:rPr>
          <w:sz w:val="24"/>
          <w:szCs w:val="24"/>
        </w:rPr>
        <w:t xml:space="preserve"> and Olsen et al. 2010 ‘The Gender Pay Gap in the UK 1995-2007’</w:t>
      </w:r>
      <w:r>
        <w:rPr>
          <w:sz w:val="24"/>
          <w:szCs w:val="24"/>
          <w:vertAlign w:val="superscript"/>
        </w:rPr>
        <w:footnoteReference w:id="7"/>
      </w:r>
      <w:r>
        <w:rPr>
          <w:sz w:val="24"/>
          <w:szCs w:val="24"/>
        </w:rPr>
        <w:t>. The methodology should aim to replicate previous statistical modelling and framing as much as possible in order to allow comparability, where possible, across time.</w:t>
      </w:r>
    </w:p>
    <w:p w14:paraId="655F9818" w14:textId="77777777" w:rsidR="003B0E73" w:rsidRDefault="00017256">
      <w:pPr>
        <w:pStyle w:val="Heading2"/>
        <w:numPr>
          <w:ilvl w:val="1"/>
          <w:numId w:val="4"/>
        </w:numPr>
        <w:pBdr>
          <w:top w:val="nil"/>
          <w:left w:val="nil"/>
          <w:bottom w:val="nil"/>
          <w:right w:val="nil"/>
          <w:between w:val="nil"/>
        </w:pBdr>
      </w:pPr>
      <w:r>
        <w:rPr>
          <w:sz w:val="24"/>
          <w:szCs w:val="24"/>
        </w:rPr>
        <w:t>Additionally, the Equality (Race &amp; Disability) Bill will extend equal pay rights to protect workers suffering discrimination on the basis of race or disability. We require the Supplier to deliver a training package in decomposition analysis to upskill analysts at the Authority such that the Authority will be able to undertake future decomposition analyses in house.</w:t>
      </w:r>
    </w:p>
    <w:p w14:paraId="1F5AB340" w14:textId="77777777" w:rsidR="003B0E73" w:rsidRDefault="00017256">
      <w:pPr>
        <w:pStyle w:val="Heading2"/>
        <w:numPr>
          <w:ilvl w:val="1"/>
          <w:numId w:val="4"/>
        </w:numPr>
      </w:pPr>
      <w:bookmarkStart w:id="12" w:name="_heading=h.44or9sucpgb" w:colFirst="0" w:colLast="0"/>
      <w:bookmarkEnd w:id="12"/>
      <w:r>
        <w:rPr>
          <w:sz w:val="24"/>
          <w:szCs w:val="24"/>
        </w:rPr>
        <w:t xml:space="preserve">The Authority is looking for a contractor or consortium, with proven relevant experience, to deliver this research project which will involve both quantitative decomposition analysis and qualitative critical evidence review. Suggested methods are included </w:t>
      </w:r>
      <w:proofErr w:type="gramStart"/>
      <w:r>
        <w:rPr>
          <w:sz w:val="24"/>
          <w:szCs w:val="24"/>
        </w:rPr>
        <w:t>below,</w:t>
      </w:r>
      <w:proofErr w:type="gramEnd"/>
      <w:r>
        <w:rPr>
          <w:sz w:val="24"/>
          <w:szCs w:val="24"/>
        </w:rPr>
        <w:t xml:space="preserve"> however we welcome supplier suggestions and innovation.</w:t>
      </w:r>
    </w:p>
    <w:p w14:paraId="759B729E" w14:textId="77777777" w:rsidR="003B0E73" w:rsidRDefault="00017256">
      <w:pPr>
        <w:pStyle w:val="Heading1"/>
        <w:numPr>
          <w:ilvl w:val="0"/>
          <w:numId w:val="4"/>
        </w:numPr>
        <w:spacing w:after="120"/>
        <w:rPr>
          <w:sz w:val="32"/>
          <w:szCs w:val="32"/>
        </w:rPr>
      </w:pPr>
      <w:bookmarkStart w:id="13" w:name="_heading=h.1t3h5sf" w:colFirst="0" w:colLast="0"/>
      <w:bookmarkEnd w:id="13"/>
      <w:r>
        <w:rPr>
          <w:sz w:val="32"/>
          <w:szCs w:val="32"/>
        </w:rPr>
        <w:t>DEFINITIONS</w:t>
      </w:r>
    </w:p>
    <w:tbl>
      <w:tblPr>
        <w:tblStyle w:val="a8"/>
        <w:tblW w:w="8299" w:type="dxa"/>
        <w:tblInd w:w="7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1857"/>
        <w:gridCol w:w="6442"/>
      </w:tblGrid>
      <w:tr w:rsidR="003B0E73" w14:paraId="363D8D1E" w14:textId="77777777">
        <w:tc>
          <w:tcPr>
            <w:tcW w:w="1857" w:type="dxa"/>
            <w:shd w:val="clear" w:color="auto" w:fill="C6D9F1"/>
          </w:tcPr>
          <w:p w14:paraId="67890577" w14:textId="77777777" w:rsidR="003B0E73" w:rsidRDefault="00017256">
            <w:pPr>
              <w:pStyle w:val="Heading2"/>
              <w:spacing w:after="120"/>
              <w:jc w:val="left"/>
              <w:outlineLvl w:val="1"/>
              <w:rPr>
                <w:color w:val="000000"/>
                <w:sz w:val="24"/>
                <w:szCs w:val="24"/>
              </w:rPr>
            </w:pPr>
            <w:r>
              <w:rPr>
                <w:color w:val="000000"/>
                <w:sz w:val="24"/>
                <w:szCs w:val="24"/>
              </w:rPr>
              <w:t xml:space="preserve">Expression </w:t>
            </w:r>
            <w:r>
              <w:rPr>
                <w:color w:val="000000"/>
                <w:sz w:val="24"/>
                <w:szCs w:val="24"/>
              </w:rPr>
              <w:lastRenderedPageBreak/>
              <w:t>or Acronym</w:t>
            </w:r>
          </w:p>
        </w:tc>
        <w:tc>
          <w:tcPr>
            <w:tcW w:w="6442" w:type="dxa"/>
            <w:shd w:val="clear" w:color="auto" w:fill="C6D9F1"/>
          </w:tcPr>
          <w:p w14:paraId="0EA39FFE" w14:textId="77777777" w:rsidR="003B0E73" w:rsidRDefault="00017256">
            <w:pPr>
              <w:pStyle w:val="Heading2"/>
              <w:spacing w:after="120"/>
              <w:ind w:right="1092"/>
              <w:outlineLvl w:val="1"/>
              <w:rPr>
                <w:color w:val="000000"/>
                <w:sz w:val="24"/>
                <w:szCs w:val="24"/>
              </w:rPr>
            </w:pPr>
            <w:r>
              <w:rPr>
                <w:color w:val="000000"/>
                <w:sz w:val="24"/>
                <w:szCs w:val="24"/>
              </w:rPr>
              <w:lastRenderedPageBreak/>
              <w:t>Definition</w:t>
            </w:r>
          </w:p>
        </w:tc>
      </w:tr>
      <w:tr w:rsidR="003B0E73" w14:paraId="1F3D7EBD" w14:textId="77777777">
        <w:tc>
          <w:tcPr>
            <w:tcW w:w="1857" w:type="dxa"/>
          </w:tcPr>
          <w:p w14:paraId="725B9A6D" w14:textId="77777777" w:rsidR="003B0E73" w:rsidRDefault="00017256">
            <w:pPr>
              <w:pStyle w:val="Heading2"/>
              <w:spacing w:after="120"/>
              <w:jc w:val="left"/>
              <w:outlineLvl w:val="1"/>
              <w:rPr>
                <w:b w:val="0"/>
                <w:color w:val="000000"/>
                <w:sz w:val="24"/>
                <w:szCs w:val="24"/>
              </w:rPr>
            </w:pPr>
            <w:r>
              <w:rPr>
                <w:b w:val="0"/>
                <w:color w:val="000000"/>
                <w:sz w:val="24"/>
                <w:szCs w:val="24"/>
              </w:rPr>
              <w:t>Gender Pay Gap (GPG)</w:t>
            </w:r>
          </w:p>
        </w:tc>
        <w:tc>
          <w:tcPr>
            <w:tcW w:w="6442" w:type="dxa"/>
          </w:tcPr>
          <w:p w14:paraId="3F404255" w14:textId="77777777" w:rsidR="003B0E73" w:rsidRDefault="00017256">
            <w:pPr>
              <w:pStyle w:val="Heading2"/>
              <w:spacing w:after="120"/>
              <w:ind w:right="1092"/>
              <w:jc w:val="left"/>
              <w:outlineLvl w:val="1"/>
              <w:rPr>
                <w:b w:val="0"/>
                <w:color w:val="000000"/>
                <w:sz w:val="24"/>
                <w:szCs w:val="24"/>
              </w:rPr>
            </w:pPr>
            <w:r>
              <w:rPr>
                <w:b w:val="0"/>
                <w:color w:val="000000"/>
                <w:sz w:val="24"/>
                <w:szCs w:val="24"/>
              </w:rPr>
              <w:t>The gender pay gap measures the difference between median hourly earnings (excluding overtime) of men and women as a proportion of men's median hourly earnings (excluding overtime). It is a measure across all jobs in the UK, not of the difference in pay between men and women for doing the same job.</w:t>
            </w:r>
          </w:p>
        </w:tc>
      </w:tr>
      <w:tr w:rsidR="003B0E73" w14:paraId="1F110ADF" w14:textId="77777777">
        <w:tc>
          <w:tcPr>
            <w:tcW w:w="1857" w:type="dxa"/>
          </w:tcPr>
          <w:p w14:paraId="1533D38F" w14:textId="77777777" w:rsidR="003B0E73" w:rsidRDefault="00017256">
            <w:pPr>
              <w:pStyle w:val="Heading2"/>
              <w:spacing w:after="120"/>
              <w:ind w:right="-80"/>
              <w:jc w:val="left"/>
              <w:outlineLvl w:val="1"/>
              <w:rPr>
                <w:b w:val="0"/>
                <w:color w:val="000000"/>
                <w:sz w:val="24"/>
                <w:szCs w:val="24"/>
              </w:rPr>
            </w:pPr>
            <w:r>
              <w:rPr>
                <w:b w:val="0"/>
                <w:color w:val="000000"/>
                <w:sz w:val="24"/>
                <w:szCs w:val="24"/>
              </w:rPr>
              <w:t xml:space="preserve">Critical evidence </w:t>
            </w:r>
            <w:proofErr w:type="gramStart"/>
            <w:r>
              <w:rPr>
                <w:b w:val="0"/>
                <w:color w:val="000000"/>
                <w:sz w:val="24"/>
                <w:szCs w:val="24"/>
              </w:rPr>
              <w:t>r</w:t>
            </w:r>
            <w:r>
              <w:rPr>
                <w:b w:val="0"/>
                <w:color w:val="000000"/>
                <w:sz w:val="24"/>
                <w:szCs w:val="24"/>
              </w:rPr>
              <w:lastRenderedPageBreak/>
              <w:t>eview</w:t>
            </w:r>
            <w:proofErr w:type="gramEnd"/>
          </w:p>
        </w:tc>
        <w:tc>
          <w:tcPr>
            <w:tcW w:w="6442" w:type="dxa"/>
          </w:tcPr>
          <w:p w14:paraId="0047BF96" w14:textId="77777777" w:rsidR="003B0E73" w:rsidRDefault="00017256">
            <w:pPr>
              <w:rPr>
                <w:rFonts w:ascii="Times New Roman" w:eastAsia="Times New Roman" w:hAnsi="Times New Roman" w:cs="Times New Roman"/>
                <w:b w:val="0"/>
                <w:sz w:val="28"/>
                <w:szCs w:val="28"/>
              </w:rPr>
            </w:pPr>
            <w:r>
              <w:rPr>
                <w:b w:val="0"/>
                <w:color w:val="000000"/>
                <w:sz w:val="24"/>
              </w:rPr>
              <w:lastRenderedPageBreak/>
              <w:t>A detailed analysis of existing research on a topic, and an evaluation of its quality. A critical evidence review should:</w:t>
            </w:r>
          </w:p>
          <w:p w14:paraId="5B8D9E87" w14:textId="77777777" w:rsidR="003B0E73" w:rsidRDefault="00017256">
            <w:pPr>
              <w:rPr>
                <w:rFonts w:ascii="Times New Roman" w:eastAsia="Times New Roman" w:hAnsi="Times New Roman" w:cs="Times New Roman"/>
                <w:b w:val="0"/>
                <w:sz w:val="28"/>
                <w:szCs w:val="28"/>
              </w:rPr>
            </w:pPr>
            <w:r>
              <w:rPr>
                <w:b w:val="0"/>
                <w:color w:val="000000"/>
                <w:sz w:val="24"/>
              </w:rPr>
              <w:t>●</w:t>
            </w:r>
            <w:r>
              <w:rPr>
                <w:b w:val="0"/>
                <w:color w:val="000000"/>
                <w:sz w:val="24"/>
              </w:rPr>
              <w:tab/>
              <w:t>Provide an overview of the current state of knowledge</w:t>
            </w:r>
          </w:p>
          <w:p w14:paraId="6307945B" w14:textId="77777777" w:rsidR="003B0E73" w:rsidRDefault="00017256">
            <w:pPr>
              <w:rPr>
                <w:rFonts w:ascii="Times New Roman" w:eastAsia="Times New Roman" w:hAnsi="Times New Roman" w:cs="Times New Roman"/>
                <w:b w:val="0"/>
                <w:sz w:val="28"/>
                <w:szCs w:val="28"/>
              </w:rPr>
            </w:pPr>
            <w:r>
              <w:rPr>
                <w:b w:val="0"/>
                <w:color w:val="000000"/>
                <w:sz w:val="24"/>
              </w:rPr>
              <w:t>●</w:t>
            </w:r>
            <w:r>
              <w:rPr>
                <w:b w:val="0"/>
                <w:color w:val="000000"/>
                <w:sz w:val="24"/>
              </w:rPr>
              <w:tab/>
              <w:t>Identify gaps in research </w:t>
            </w:r>
          </w:p>
          <w:p w14:paraId="34D36431" w14:textId="77777777" w:rsidR="003B0E73" w:rsidRDefault="00017256">
            <w:pPr>
              <w:rPr>
                <w:rFonts w:ascii="Times New Roman" w:eastAsia="Times New Roman" w:hAnsi="Times New Roman" w:cs="Times New Roman"/>
                <w:b w:val="0"/>
                <w:sz w:val="28"/>
                <w:szCs w:val="28"/>
              </w:rPr>
            </w:pPr>
            <w:r>
              <w:rPr>
                <w:b w:val="0"/>
                <w:color w:val="000000"/>
                <w:sz w:val="24"/>
              </w:rPr>
              <w:t>●</w:t>
            </w:r>
            <w:r>
              <w:rPr>
                <w:b w:val="0"/>
                <w:color w:val="000000"/>
                <w:sz w:val="24"/>
              </w:rPr>
              <w:tab/>
              <w:t>Highlight key findings </w:t>
            </w:r>
          </w:p>
          <w:p w14:paraId="2CB76C51" w14:textId="77777777" w:rsidR="003B0E73" w:rsidRDefault="00017256">
            <w:pPr>
              <w:rPr>
                <w:rFonts w:ascii="Times New Roman" w:eastAsia="Times New Roman" w:hAnsi="Times New Roman" w:cs="Times New Roman"/>
                <w:b w:val="0"/>
                <w:sz w:val="28"/>
                <w:szCs w:val="28"/>
              </w:rPr>
            </w:pPr>
            <w:r>
              <w:rPr>
                <w:b w:val="0"/>
                <w:color w:val="000000"/>
                <w:sz w:val="24"/>
              </w:rPr>
              <w:t>●</w:t>
            </w:r>
            <w:r>
              <w:rPr>
                <w:b w:val="0"/>
                <w:color w:val="000000"/>
                <w:sz w:val="24"/>
              </w:rPr>
              <w:tab/>
              <w:t>Assess the strengths and weaknesses of the research</w:t>
            </w:r>
          </w:p>
          <w:p w14:paraId="13C321F7" w14:textId="77777777" w:rsidR="003B0E73" w:rsidRDefault="00017256">
            <w:pPr>
              <w:rPr>
                <w:rFonts w:ascii="Times New Roman" w:eastAsia="Times New Roman" w:hAnsi="Times New Roman" w:cs="Times New Roman"/>
                <w:b w:val="0"/>
                <w:sz w:val="28"/>
                <w:szCs w:val="28"/>
              </w:rPr>
            </w:pPr>
            <w:r>
              <w:rPr>
                <w:b w:val="0"/>
                <w:color w:val="000000"/>
                <w:sz w:val="24"/>
              </w:rPr>
              <w:t>●</w:t>
            </w:r>
            <w:r>
              <w:rPr>
                <w:b w:val="0"/>
                <w:color w:val="000000"/>
                <w:sz w:val="24"/>
              </w:rPr>
              <w:tab/>
              <w:t>Challenge underlying assumptions</w:t>
            </w:r>
          </w:p>
          <w:p w14:paraId="3FFABF98" w14:textId="77777777" w:rsidR="003B0E73" w:rsidRDefault="00017256">
            <w:pPr>
              <w:rPr>
                <w:rFonts w:ascii="Times New Roman" w:eastAsia="Times New Roman" w:hAnsi="Times New Roman" w:cs="Times New Roman"/>
                <w:b w:val="0"/>
                <w:sz w:val="28"/>
                <w:szCs w:val="28"/>
              </w:rPr>
            </w:pPr>
            <w:r>
              <w:rPr>
                <w:b w:val="0"/>
                <w:color w:val="000000"/>
                <w:sz w:val="24"/>
              </w:rPr>
              <w:t>●</w:t>
            </w:r>
            <w:r>
              <w:rPr>
                <w:b w:val="0"/>
                <w:color w:val="000000"/>
                <w:sz w:val="24"/>
              </w:rPr>
              <w:tab/>
              <w:t>Identify areas that need further investigation</w:t>
            </w:r>
          </w:p>
          <w:p w14:paraId="11951345" w14:textId="77777777" w:rsidR="003B0E73" w:rsidRDefault="003B0E73">
            <w:pPr>
              <w:pStyle w:val="Heading2"/>
              <w:spacing w:after="0"/>
              <w:ind w:right="1092"/>
              <w:outlineLvl w:val="1"/>
              <w:rPr>
                <w:b w:val="0"/>
                <w:color w:val="000000"/>
                <w:sz w:val="24"/>
                <w:szCs w:val="24"/>
              </w:rPr>
            </w:pPr>
          </w:p>
        </w:tc>
      </w:tr>
      <w:tr w:rsidR="003B0E73" w14:paraId="22896FED" w14:textId="77777777">
        <w:tc>
          <w:tcPr>
            <w:tcW w:w="1857" w:type="dxa"/>
          </w:tcPr>
          <w:p w14:paraId="6BDAC774" w14:textId="77777777" w:rsidR="003B0E73" w:rsidRDefault="00017256">
            <w:pPr>
              <w:pStyle w:val="Heading2"/>
              <w:spacing w:after="120"/>
              <w:ind w:right="-80"/>
              <w:jc w:val="left"/>
              <w:outlineLvl w:val="1"/>
              <w:rPr>
                <w:b w:val="0"/>
                <w:color w:val="000000"/>
                <w:sz w:val="24"/>
                <w:szCs w:val="24"/>
              </w:rPr>
            </w:pPr>
            <w:r>
              <w:rPr>
                <w:b w:val="0"/>
                <w:color w:val="000000"/>
                <w:sz w:val="24"/>
                <w:szCs w:val="24"/>
              </w:rPr>
              <w:t>Decomposition analysis</w:t>
            </w:r>
          </w:p>
        </w:tc>
        <w:tc>
          <w:tcPr>
            <w:tcW w:w="6442" w:type="dxa"/>
          </w:tcPr>
          <w:p w14:paraId="4322A10E" w14:textId="77777777" w:rsidR="003B0E73" w:rsidRDefault="00017256">
            <w:pPr>
              <w:rPr>
                <w:rFonts w:ascii="Times New Roman" w:eastAsia="Times New Roman" w:hAnsi="Times New Roman" w:cs="Times New Roman"/>
                <w:b w:val="0"/>
                <w:sz w:val="24"/>
              </w:rPr>
            </w:pPr>
            <w:r>
              <w:rPr>
                <w:b w:val="0"/>
                <w:color w:val="000000"/>
                <w:sz w:val="24"/>
              </w:rPr>
              <w:t>Decomposition analysis is a statistical method which breaks the drivers of a variable, for example the gender pay gap, into their constituent parts.</w:t>
            </w:r>
          </w:p>
        </w:tc>
      </w:tr>
      <w:tr w:rsidR="003B0E73" w14:paraId="3EA4933B" w14:textId="77777777">
        <w:tc>
          <w:tcPr>
            <w:tcW w:w="1857" w:type="dxa"/>
          </w:tcPr>
          <w:p w14:paraId="0D97A8C6" w14:textId="77777777" w:rsidR="003B0E73" w:rsidRDefault="00017256">
            <w:pPr>
              <w:pStyle w:val="Heading2"/>
              <w:spacing w:after="120"/>
              <w:ind w:right="-80"/>
              <w:jc w:val="left"/>
              <w:outlineLvl w:val="1"/>
              <w:rPr>
                <w:b w:val="0"/>
                <w:color w:val="000000"/>
                <w:sz w:val="24"/>
                <w:szCs w:val="24"/>
              </w:rPr>
            </w:pPr>
            <w:r>
              <w:rPr>
                <w:b w:val="0"/>
                <w:color w:val="000000"/>
                <w:sz w:val="24"/>
                <w:szCs w:val="24"/>
              </w:rPr>
              <w:t>‘Grey’ literature</w:t>
            </w:r>
          </w:p>
        </w:tc>
        <w:tc>
          <w:tcPr>
            <w:tcW w:w="6442" w:type="dxa"/>
          </w:tcPr>
          <w:p w14:paraId="0E3266F6" w14:textId="77777777" w:rsidR="003B0E73" w:rsidRDefault="00017256">
            <w:pPr>
              <w:rPr>
                <w:rFonts w:ascii="Times New Roman" w:eastAsia="Times New Roman" w:hAnsi="Times New Roman" w:cs="Times New Roman"/>
                <w:b w:val="0"/>
                <w:sz w:val="28"/>
                <w:szCs w:val="28"/>
              </w:rPr>
            </w:pPr>
            <w:r>
              <w:rPr>
                <w:b w:val="0"/>
                <w:color w:val="000000"/>
                <w:sz w:val="24"/>
              </w:rPr>
              <w:t>The term ‘grey literature’ refers to any information that is not produced by commercial publishers. It includes research reports, working papers, conference proceedings, these, white papers, and reports produced by government departments, select committees, academics, pressure groups, business and industry. Grey literature may be directly available to the public, or distributed privately within organisations/groups. It may be difficult to discover, access, and evaluate, but this can be addressed through the formulation of sound search strategies.</w:t>
            </w:r>
          </w:p>
        </w:tc>
      </w:tr>
    </w:tbl>
    <w:p w14:paraId="4AB10A30" w14:textId="77777777" w:rsidR="003B0E73" w:rsidRDefault="00017256">
      <w:pPr>
        <w:pStyle w:val="Heading1"/>
        <w:numPr>
          <w:ilvl w:val="0"/>
          <w:numId w:val="4"/>
        </w:numPr>
        <w:spacing w:before="240" w:after="120"/>
        <w:rPr>
          <w:sz w:val="32"/>
          <w:szCs w:val="32"/>
        </w:rPr>
      </w:pPr>
      <w:bookmarkStart w:id="14" w:name="_heading=h.4d34og8" w:colFirst="0" w:colLast="0"/>
      <w:bookmarkEnd w:id="14"/>
      <w:r>
        <w:rPr>
          <w:sz w:val="32"/>
          <w:szCs w:val="32"/>
        </w:rPr>
        <w:lastRenderedPageBreak/>
        <w:t>SCOPE OF REQUIREMENTS</w:t>
      </w:r>
    </w:p>
    <w:p w14:paraId="04E09F6B" w14:textId="77777777" w:rsidR="003B0E73" w:rsidRDefault="00017256">
      <w:pPr>
        <w:pStyle w:val="Heading2"/>
        <w:numPr>
          <w:ilvl w:val="1"/>
          <w:numId w:val="4"/>
        </w:numPr>
        <w:pBdr>
          <w:top w:val="nil"/>
          <w:left w:val="nil"/>
          <w:bottom w:val="nil"/>
          <w:right w:val="nil"/>
          <w:between w:val="nil"/>
        </w:pBdr>
      </w:pPr>
      <w:r>
        <w:rPr>
          <w:sz w:val="24"/>
          <w:szCs w:val="24"/>
        </w:rPr>
        <w:t>Interested Potential Providers should carefully read the requirements set out below and respond to the questions set out in the response guidance.</w:t>
      </w:r>
    </w:p>
    <w:p w14:paraId="38508664" w14:textId="77777777" w:rsidR="003B0E73" w:rsidRDefault="00017256">
      <w:pPr>
        <w:pStyle w:val="Heading2"/>
        <w:numPr>
          <w:ilvl w:val="1"/>
          <w:numId w:val="4"/>
        </w:numPr>
        <w:pBdr>
          <w:top w:val="nil"/>
          <w:left w:val="nil"/>
          <w:bottom w:val="nil"/>
          <w:right w:val="nil"/>
          <w:between w:val="nil"/>
        </w:pBdr>
      </w:pPr>
      <w:r>
        <w:rPr>
          <w:sz w:val="24"/>
          <w:szCs w:val="24"/>
        </w:rPr>
        <w:t>The Supplier is to assume that all requirements are mandatory core requirements and should therefore be included in the core contract price, unless otherwise specified.</w:t>
      </w:r>
    </w:p>
    <w:p w14:paraId="04407EDA" w14:textId="77777777" w:rsidR="003B0E73" w:rsidRDefault="00017256">
      <w:pPr>
        <w:pStyle w:val="Heading2"/>
        <w:numPr>
          <w:ilvl w:val="1"/>
          <w:numId w:val="4"/>
        </w:numPr>
        <w:pBdr>
          <w:top w:val="nil"/>
          <w:left w:val="nil"/>
          <w:bottom w:val="nil"/>
          <w:right w:val="nil"/>
          <w:between w:val="nil"/>
        </w:pBdr>
      </w:pPr>
      <w:r>
        <w:rPr>
          <w:sz w:val="24"/>
          <w:szCs w:val="24"/>
        </w:rPr>
        <w:t>The Supplier is to implement all objectives and processes listed in their approaches once agreed and signed, if requested by the Authority.</w:t>
      </w:r>
    </w:p>
    <w:p w14:paraId="394F207A" w14:textId="77777777" w:rsidR="003B0E73" w:rsidRDefault="00017256">
      <w:pPr>
        <w:pStyle w:val="Heading2"/>
        <w:numPr>
          <w:ilvl w:val="1"/>
          <w:numId w:val="4"/>
        </w:numPr>
        <w:pBdr>
          <w:top w:val="nil"/>
          <w:left w:val="nil"/>
          <w:bottom w:val="nil"/>
          <w:right w:val="nil"/>
          <w:between w:val="nil"/>
        </w:pBdr>
      </w:pPr>
      <w:r>
        <w:rPr>
          <w:sz w:val="24"/>
          <w:szCs w:val="24"/>
        </w:rPr>
        <w:t>The Supplier will be required to work in close collaboration with the Authority, particularly, but not limited to, on identification of variables to be included in the decomposition analysis.</w:t>
      </w:r>
    </w:p>
    <w:p w14:paraId="2B9DB366" w14:textId="77777777" w:rsidR="003B0E73" w:rsidRDefault="00017256">
      <w:pPr>
        <w:pStyle w:val="Heading2"/>
        <w:numPr>
          <w:ilvl w:val="1"/>
          <w:numId w:val="4"/>
        </w:numPr>
        <w:pBdr>
          <w:top w:val="nil"/>
          <w:left w:val="nil"/>
          <w:bottom w:val="nil"/>
          <w:right w:val="nil"/>
          <w:between w:val="nil"/>
        </w:pBdr>
      </w:pPr>
      <w:r>
        <w:rPr>
          <w:sz w:val="24"/>
          <w:szCs w:val="24"/>
        </w:rPr>
        <w:t>The requirements are as follows:</w:t>
      </w:r>
    </w:p>
    <w:p w14:paraId="5BF82A0B" w14:textId="77777777" w:rsidR="003B0E73" w:rsidRDefault="00017256">
      <w:pPr>
        <w:pStyle w:val="Heading2"/>
        <w:numPr>
          <w:ilvl w:val="0"/>
          <w:numId w:val="5"/>
        </w:numPr>
        <w:pBdr>
          <w:top w:val="nil"/>
          <w:left w:val="nil"/>
          <w:bottom w:val="nil"/>
          <w:right w:val="nil"/>
          <w:between w:val="nil"/>
        </w:pBdr>
        <w:rPr>
          <w:sz w:val="24"/>
          <w:szCs w:val="24"/>
        </w:rPr>
      </w:pPr>
      <w:bookmarkStart w:id="15" w:name="_heading=h.r4pzyka19ttp" w:colFirst="0" w:colLast="0"/>
      <w:bookmarkEnd w:id="15"/>
      <w:r>
        <w:rPr>
          <w:sz w:val="24"/>
          <w:szCs w:val="24"/>
        </w:rPr>
        <w:t>Inception meeting</w:t>
      </w:r>
    </w:p>
    <w:p w14:paraId="5A71C79A" w14:textId="77777777" w:rsidR="003B0E73" w:rsidRDefault="00017256">
      <w:pPr>
        <w:pStyle w:val="Heading2"/>
        <w:numPr>
          <w:ilvl w:val="0"/>
          <w:numId w:val="5"/>
        </w:numPr>
        <w:pBdr>
          <w:top w:val="nil"/>
          <w:left w:val="nil"/>
          <w:bottom w:val="nil"/>
          <w:right w:val="nil"/>
          <w:between w:val="nil"/>
        </w:pBdr>
        <w:rPr>
          <w:sz w:val="24"/>
          <w:szCs w:val="24"/>
        </w:rPr>
      </w:pPr>
      <w:bookmarkStart w:id="16" w:name="_heading=h.3dv3z9dbjn1r" w:colFirst="0" w:colLast="0"/>
      <w:bookmarkEnd w:id="16"/>
      <w:r>
        <w:rPr>
          <w:sz w:val="24"/>
          <w:szCs w:val="24"/>
        </w:rPr>
        <w:t>Decomposition analysis of the gender pay gap according to the analytical plan.</w:t>
      </w:r>
    </w:p>
    <w:p w14:paraId="5A035674" w14:textId="77777777" w:rsidR="003B0E73" w:rsidRDefault="00017256">
      <w:pPr>
        <w:pStyle w:val="Heading2"/>
        <w:numPr>
          <w:ilvl w:val="0"/>
          <w:numId w:val="5"/>
        </w:numPr>
        <w:pBdr>
          <w:top w:val="nil"/>
          <w:left w:val="nil"/>
          <w:bottom w:val="nil"/>
          <w:right w:val="nil"/>
          <w:between w:val="nil"/>
        </w:pBdr>
        <w:rPr>
          <w:sz w:val="24"/>
          <w:szCs w:val="24"/>
        </w:rPr>
      </w:pPr>
      <w:bookmarkStart w:id="17" w:name="_heading=h.hsfbdygyn6fs" w:colFirst="0" w:colLast="0"/>
      <w:bookmarkEnd w:id="17"/>
      <w:r>
        <w:rPr>
          <w:sz w:val="24"/>
          <w:szCs w:val="24"/>
        </w:rPr>
        <w:t xml:space="preserve">Critical evidence </w:t>
      </w:r>
      <w:proofErr w:type="gramStart"/>
      <w:r>
        <w:rPr>
          <w:sz w:val="24"/>
          <w:szCs w:val="24"/>
        </w:rPr>
        <w:t>review</w:t>
      </w:r>
      <w:proofErr w:type="gramEnd"/>
      <w:r>
        <w:rPr>
          <w:sz w:val="24"/>
          <w:szCs w:val="24"/>
        </w:rPr>
        <w:t xml:space="preserve"> of research into the GPG, particularly focusing on effective measures for reducing it.</w:t>
      </w:r>
    </w:p>
    <w:p w14:paraId="4D18957A" w14:textId="77777777" w:rsidR="003B0E73" w:rsidRDefault="00017256">
      <w:pPr>
        <w:pStyle w:val="Heading2"/>
        <w:numPr>
          <w:ilvl w:val="0"/>
          <w:numId w:val="5"/>
        </w:numPr>
        <w:pBdr>
          <w:top w:val="nil"/>
          <w:left w:val="nil"/>
          <w:bottom w:val="nil"/>
          <w:right w:val="nil"/>
          <w:between w:val="nil"/>
        </w:pBdr>
        <w:rPr>
          <w:sz w:val="24"/>
          <w:szCs w:val="24"/>
        </w:rPr>
      </w:pPr>
      <w:bookmarkStart w:id="18" w:name="_heading=h.1ukgcg6431h6" w:colFirst="0" w:colLast="0"/>
      <w:bookmarkEnd w:id="18"/>
      <w:r>
        <w:rPr>
          <w:sz w:val="24"/>
          <w:szCs w:val="24"/>
        </w:rPr>
        <w:t>Provide interim findings to update the Authority on progress.</w:t>
      </w:r>
    </w:p>
    <w:p w14:paraId="432B5465" w14:textId="77777777" w:rsidR="003B0E73" w:rsidRDefault="00017256">
      <w:pPr>
        <w:pStyle w:val="Heading2"/>
        <w:numPr>
          <w:ilvl w:val="0"/>
          <w:numId w:val="5"/>
        </w:numPr>
        <w:pBdr>
          <w:top w:val="nil"/>
          <w:left w:val="nil"/>
          <w:bottom w:val="nil"/>
          <w:right w:val="nil"/>
          <w:between w:val="nil"/>
        </w:pBdr>
        <w:rPr>
          <w:sz w:val="24"/>
          <w:szCs w:val="24"/>
        </w:rPr>
      </w:pPr>
      <w:bookmarkStart w:id="19" w:name="_heading=h.7b2gtucgo9rb" w:colFirst="0" w:colLast="0"/>
      <w:bookmarkEnd w:id="19"/>
      <w:r>
        <w:rPr>
          <w:sz w:val="24"/>
          <w:szCs w:val="24"/>
        </w:rPr>
        <w:t>Provide an interim training package to update the Authority on progress.</w:t>
      </w:r>
    </w:p>
    <w:p w14:paraId="70516FD2" w14:textId="77777777" w:rsidR="003B0E73" w:rsidRDefault="00017256">
      <w:pPr>
        <w:pStyle w:val="Heading2"/>
        <w:numPr>
          <w:ilvl w:val="0"/>
          <w:numId w:val="5"/>
        </w:numPr>
        <w:pBdr>
          <w:top w:val="nil"/>
          <w:left w:val="nil"/>
          <w:bottom w:val="nil"/>
          <w:right w:val="nil"/>
          <w:between w:val="nil"/>
        </w:pBdr>
        <w:rPr>
          <w:sz w:val="24"/>
          <w:szCs w:val="24"/>
        </w:rPr>
      </w:pPr>
      <w:bookmarkStart w:id="20" w:name="_heading=h.n1imhywlev3x" w:colFirst="0" w:colLast="0"/>
      <w:bookmarkEnd w:id="20"/>
      <w:r>
        <w:rPr>
          <w:sz w:val="24"/>
          <w:szCs w:val="24"/>
        </w:rPr>
        <w:t>A final report incorporating findings and recommendations.</w:t>
      </w:r>
    </w:p>
    <w:p w14:paraId="7F3BAFEA" w14:textId="77777777" w:rsidR="003B0E73" w:rsidRDefault="00017256">
      <w:pPr>
        <w:pStyle w:val="Heading2"/>
        <w:numPr>
          <w:ilvl w:val="0"/>
          <w:numId w:val="5"/>
        </w:numPr>
        <w:pBdr>
          <w:top w:val="nil"/>
          <w:left w:val="nil"/>
          <w:bottom w:val="nil"/>
          <w:right w:val="nil"/>
          <w:between w:val="nil"/>
        </w:pBdr>
        <w:rPr>
          <w:sz w:val="24"/>
          <w:szCs w:val="24"/>
        </w:rPr>
      </w:pPr>
      <w:bookmarkStart w:id="21" w:name="_heading=h.118eyys198ln" w:colFirst="0" w:colLast="0"/>
      <w:bookmarkEnd w:id="21"/>
      <w:r>
        <w:rPr>
          <w:sz w:val="24"/>
          <w:szCs w:val="24"/>
        </w:rPr>
        <w:t>Final training package on conducting decomposition analysis.</w:t>
      </w:r>
    </w:p>
    <w:p w14:paraId="2FD8A21D" w14:textId="77777777" w:rsidR="003B0E73" w:rsidRDefault="00017256">
      <w:pPr>
        <w:pStyle w:val="Heading1"/>
        <w:numPr>
          <w:ilvl w:val="0"/>
          <w:numId w:val="4"/>
        </w:numPr>
        <w:spacing w:after="120"/>
        <w:rPr>
          <w:sz w:val="32"/>
          <w:szCs w:val="32"/>
        </w:rPr>
      </w:pPr>
      <w:bookmarkStart w:id="22" w:name="_heading=h.2s8eyo1" w:colFirst="0" w:colLast="0"/>
      <w:bookmarkEnd w:id="22"/>
      <w:r>
        <w:rPr>
          <w:sz w:val="32"/>
          <w:szCs w:val="32"/>
        </w:rPr>
        <w:t>THE REQUIREMENTS</w:t>
      </w:r>
    </w:p>
    <w:p w14:paraId="24D000FD" w14:textId="77777777" w:rsidR="003B0E73" w:rsidRDefault="00017256">
      <w:pPr>
        <w:pStyle w:val="Heading2"/>
        <w:numPr>
          <w:ilvl w:val="1"/>
          <w:numId w:val="4"/>
        </w:numPr>
        <w:pBdr>
          <w:top w:val="nil"/>
          <w:left w:val="nil"/>
          <w:bottom w:val="nil"/>
          <w:right w:val="nil"/>
          <w:between w:val="nil"/>
        </w:pBdr>
      </w:pPr>
      <w:bookmarkStart w:id="23" w:name="_heading=h.38rdvpiej7i0" w:colFirst="0" w:colLast="0"/>
      <w:bookmarkEnd w:id="23"/>
      <w:r>
        <w:rPr>
          <w:sz w:val="24"/>
          <w:szCs w:val="24"/>
        </w:rPr>
        <w:t>The following sections outline each requirement in more detail. All requirements should be met by the deadlines outlined in “7. Key Milestones and Deliverables”.</w:t>
      </w:r>
    </w:p>
    <w:p w14:paraId="5AC2A434" w14:textId="77777777" w:rsidR="003B0E73" w:rsidRDefault="00017256">
      <w:pPr>
        <w:numPr>
          <w:ilvl w:val="0"/>
          <w:numId w:val="7"/>
        </w:numPr>
        <w:pBdr>
          <w:top w:val="nil"/>
          <w:left w:val="nil"/>
          <w:bottom w:val="nil"/>
          <w:right w:val="nil"/>
          <w:between w:val="nil"/>
        </w:pBdr>
        <w:rPr>
          <w:b/>
          <w:color w:val="000000"/>
          <w:sz w:val="28"/>
          <w:szCs w:val="28"/>
        </w:rPr>
      </w:pPr>
      <w:bookmarkStart w:id="24" w:name="_heading=h.cpaivf3egez4" w:colFirst="0" w:colLast="0"/>
      <w:bookmarkEnd w:id="24"/>
      <w:r>
        <w:rPr>
          <w:b/>
          <w:color w:val="000000"/>
          <w:sz w:val="28"/>
          <w:szCs w:val="28"/>
        </w:rPr>
        <w:t>Inception Meeting</w:t>
      </w:r>
    </w:p>
    <w:p w14:paraId="782244DD" w14:textId="77777777" w:rsidR="003B0E73" w:rsidRDefault="003B0E73">
      <w:pPr>
        <w:pBdr>
          <w:top w:val="nil"/>
          <w:left w:val="nil"/>
          <w:bottom w:val="nil"/>
          <w:right w:val="nil"/>
          <w:between w:val="nil"/>
        </w:pBdr>
        <w:ind w:left="1440" w:hanging="360"/>
        <w:rPr>
          <w:b/>
          <w:color w:val="000000"/>
          <w:sz w:val="28"/>
          <w:szCs w:val="28"/>
        </w:rPr>
      </w:pPr>
    </w:p>
    <w:p w14:paraId="55B8DAA7" w14:textId="77777777" w:rsidR="003B0E73" w:rsidRDefault="00017256">
      <w:pPr>
        <w:pStyle w:val="Heading2"/>
        <w:numPr>
          <w:ilvl w:val="1"/>
          <w:numId w:val="4"/>
        </w:numPr>
        <w:pBdr>
          <w:top w:val="nil"/>
          <w:left w:val="nil"/>
          <w:bottom w:val="nil"/>
          <w:right w:val="nil"/>
          <w:between w:val="nil"/>
        </w:pBdr>
      </w:pPr>
      <w:bookmarkStart w:id="25" w:name="_heading=h.85m0vrul51no" w:colFirst="0" w:colLast="0"/>
      <w:bookmarkEnd w:id="25"/>
      <w:r>
        <w:rPr>
          <w:sz w:val="24"/>
          <w:szCs w:val="24"/>
        </w:rPr>
        <w:t xml:space="preserve">The Authority requires the Supplier to hold an inception meeting to discuss project planning by the deadline outlined in “7. Key Milestones and Deliverables”. The inception meeting will serve as an introduction between the Supplier and the Authority and will provide an opportunity for project planning </w:t>
      </w:r>
      <w:r>
        <w:rPr>
          <w:sz w:val="24"/>
          <w:szCs w:val="24"/>
        </w:rPr>
        <w:lastRenderedPageBreak/>
        <w:t>and to clarify the scope and focus of analysis. Discussions could include, but are not limited to:</w:t>
      </w:r>
    </w:p>
    <w:p w14:paraId="2FA928FD" w14:textId="77777777" w:rsidR="003B0E73" w:rsidRDefault="00017256">
      <w:pPr>
        <w:pStyle w:val="Heading2"/>
        <w:numPr>
          <w:ilvl w:val="0"/>
          <w:numId w:val="3"/>
        </w:numPr>
        <w:ind w:left="1417" w:hanging="283"/>
        <w:rPr>
          <w:sz w:val="24"/>
          <w:szCs w:val="24"/>
        </w:rPr>
      </w:pPr>
      <w:bookmarkStart w:id="26" w:name="_heading=h.3xc9i772h0o4" w:colFirst="0" w:colLast="0"/>
      <w:bookmarkEnd w:id="26"/>
      <w:r>
        <w:rPr>
          <w:sz w:val="24"/>
          <w:szCs w:val="24"/>
        </w:rPr>
        <w:t>The research team and their roles and responsibilities.</w:t>
      </w:r>
    </w:p>
    <w:p w14:paraId="0796301B" w14:textId="77777777" w:rsidR="003B0E73" w:rsidRDefault="00017256">
      <w:pPr>
        <w:pStyle w:val="Heading2"/>
        <w:numPr>
          <w:ilvl w:val="0"/>
          <w:numId w:val="3"/>
        </w:numPr>
        <w:ind w:left="1417" w:hanging="283"/>
        <w:rPr>
          <w:sz w:val="24"/>
          <w:szCs w:val="24"/>
        </w:rPr>
      </w:pPr>
      <w:bookmarkStart w:id="27" w:name="_heading=h.szqeqj81i00d" w:colFirst="0" w:colLast="0"/>
      <w:bookmarkEnd w:id="27"/>
      <w:r>
        <w:rPr>
          <w:sz w:val="24"/>
          <w:szCs w:val="24"/>
        </w:rPr>
        <w:t>A review of potential datasets, the variables they contain and their strengths and weaknesses. The supplier is expected to justify their choice of dataset, and identify timelines, risks and mitigations.</w:t>
      </w:r>
    </w:p>
    <w:p w14:paraId="27C02625" w14:textId="77777777" w:rsidR="003B0E73" w:rsidRDefault="00017256">
      <w:pPr>
        <w:pStyle w:val="Heading2"/>
        <w:numPr>
          <w:ilvl w:val="0"/>
          <w:numId w:val="3"/>
        </w:numPr>
        <w:pBdr>
          <w:top w:val="nil"/>
          <w:left w:val="nil"/>
          <w:bottom w:val="nil"/>
          <w:right w:val="nil"/>
          <w:between w:val="nil"/>
        </w:pBdr>
        <w:ind w:left="1417" w:hanging="283"/>
        <w:rPr>
          <w:sz w:val="24"/>
          <w:szCs w:val="24"/>
        </w:rPr>
      </w:pPr>
      <w:bookmarkStart w:id="28" w:name="_heading=h.yoh3dh60kjj" w:colFirst="0" w:colLast="0"/>
      <w:bookmarkEnd w:id="28"/>
      <w:r>
        <w:rPr>
          <w:sz w:val="24"/>
          <w:szCs w:val="24"/>
        </w:rPr>
        <w:t>An analytical plan that outlines the steps for the analysis.</w:t>
      </w:r>
    </w:p>
    <w:p w14:paraId="118424F9" w14:textId="77777777" w:rsidR="003B0E73" w:rsidRDefault="00017256">
      <w:pPr>
        <w:pStyle w:val="Heading2"/>
        <w:numPr>
          <w:ilvl w:val="0"/>
          <w:numId w:val="3"/>
        </w:numPr>
        <w:pBdr>
          <w:top w:val="nil"/>
          <w:left w:val="nil"/>
          <w:bottom w:val="nil"/>
          <w:right w:val="nil"/>
          <w:between w:val="nil"/>
        </w:pBdr>
        <w:ind w:left="1417" w:hanging="283"/>
        <w:rPr>
          <w:sz w:val="24"/>
          <w:szCs w:val="24"/>
        </w:rPr>
      </w:pPr>
      <w:bookmarkStart w:id="29" w:name="_heading=h.xvowzvyvzird" w:colFirst="0" w:colLast="0"/>
      <w:bookmarkEnd w:id="29"/>
      <w:r>
        <w:rPr>
          <w:sz w:val="24"/>
          <w:szCs w:val="24"/>
        </w:rPr>
        <w:t>A discussion of how the proposed analysis contrasts with similar analysis on the GPG, for example by the Office for National Statistics, the Fawcett Society, and previous analysis by the Authority</w:t>
      </w:r>
      <w:r>
        <w:rPr>
          <w:sz w:val="24"/>
          <w:szCs w:val="24"/>
          <w:vertAlign w:val="superscript"/>
        </w:rPr>
        <w:footnoteReference w:id="8"/>
      </w:r>
      <w:r>
        <w:rPr>
          <w:sz w:val="24"/>
          <w:szCs w:val="24"/>
          <w:vertAlign w:val="superscript"/>
        </w:rPr>
        <w:t xml:space="preserve">, </w:t>
      </w:r>
      <w:r>
        <w:rPr>
          <w:sz w:val="24"/>
          <w:szCs w:val="24"/>
          <w:vertAlign w:val="superscript"/>
        </w:rPr>
        <w:footnoteReference w:id="9"/>
      </w:r>
      <w:r>
        <w:rPr>
          <w:sz w:val="24"/>
          <w:szCs w:val="24"/>
        </w:rPr>
        <w:t>.</w:t>
      </w:r>
    </w:p>
    <w:p w14:paraId="158B1B88" w14:textId="77777777" w:rsidR="003B0E73" w:rsidRDefault="00017256">
      <w:pPr>
        <w:pStyle w:val="Heading2"/>
        <w:numPr>
          <w:ilvl w:val="0"/>
          <w:numId w:val="3"/>
        </w:numPr>
        <w:pBdr>
          <w:top w:val="nil"/>
          <w:left w:val="nil"/>
          <w:bottom w:val="nil"/>
          <w:right w:val="nil"/>
          <w:between w:val="nil"/>
        </w:pBdr>
        <w:ind w:left="1417" w:hanging="283"/>
        <w:rPr>
          <w:sz w:val="24"/>
          <w:szCs w:val="24"/>
        </w:rPr>
      </w:pPr>
      <w:bookmarkStart w:id="30" w:name="_heading=h.3v4f62mucrcr" w:colFirst="0" w:colLast="0"/>
      <w:bookmarkEnd w:id="30"/>
      <w:r>
        <w:rPr>
          <w:sz w:val="24"/>
          <w:szCs w:val="24"/>
        </w:rPr>
        <w:t>Anything Authority analysts will need to obtain or have access to for the successful delivery of the training package. This could include, but is not limited to: operating systems, software, and packages.</w:t>
      </w:r>
    </w:p>
    <w:p w14:paraId="14ABF74B" w14:textId="77777777" w:rsidR="003B0E73" w:rsidRDefault="00017256">
      <w:pPr>
        <w:pStyle w:val="Heading2"/>
        <w:numPr>
          <w:ilvl w:val="0"/>
          <w:numId w:val="3"/>
        </w:numPr>
        <w:pBdr>
          <w:top w:val="nil"/>
          <w:left w:val="nil"/>
          <w:bottom w:val="nil"/>
          <w:right w:val="nil"/>
          <w:between w:val="nil"/>
        </w:pBdr>
        <w:ind w:left="1417" w:hanging="283"/>
        <w:rPr>
          <w:sz w:val="24"/>
          <w:szCs w:val="24"/>
        </w:rPr>
      </w:pPr>
      <w:bookmarkStart w:id="31" w:name="_heading=h.6lstr6pv4140" w:colFirst="0" w:colLast="0"/>
      <w:bookmarkEnd w:id="31"/>
      <w:r>
        <w:rPr>
          <w:sz w:val="24"/>
          <w:szCs w:val="24"/>
        </w:rPr>
        <w:t>A timeline for the project.</w:t>
      </w:r>
    </w:p>
    <w:p w14:paraId="243AA548" w14:textId="77777777" w:rsidR="003B0E73" w:rsidRDefault="00017256">
      <w:pPr>
        <w:pStyle w:val="Heading2"/>
        <w:numPr>
          <w:ilvl w:val="1"/>
          <w:numId w:val="4"/>
        </w:numPr>
      </w:pPr>
      <w:bookmarkStart w:id="32" w:name="_heading=h.dhton26rjegt" w:colFirst="0" w:colLast="0"/>
      <w:bookmarkEnd w:id="32"/>
      <w:r>
        <w:rPr>
          <w:sz w:val="24"/>
          <w:szCs w:val="24"/>
        </w:rPr>
        <w:t>It is anticipated that the Supplier will hold follow up meetings as necessary to ensure the analysis will meet the requirements of the Authority.</w:t>
      </w:r>
    </w:p>
    <w:p w14:paraId="78E374FF" w14:textId="77777777" w:rsidR="003B0E73" w:rsidRDefault="003B0E73">
      <w:pPr>
        <w:pBdr>
          <w:top w:val="nil"/>
          <w:left w:val="nil"/>
          <w:bottom w:val="nil"/>
          <w:right w:val="nil"/>
          <w:between w:val="nil"/>
        </w:pBdr>
        <w:spacing w:after="240"/>
        <w:ind w:left="720" w:hanging="720"/>
        <w:jc w:val="both"/>
        <w:rPr>
          <w:color w:val="000000"/>
        </w:rPr>
      </w:pPr>
    </w:p>
    <w:p w14:paraId="490C6388" w14:textId="77777777" w:rsidR="003B0E73" w:rsidRDefault="00017256">
      <w:pPr>
        <w:pStyle w:val="Heading2"/>
        <w:numPr>
          <w:ilvl w:val="0"/>
          <w:numId w:val="9"/>
        </w:numPr>
        <w:rPr>
          <w:b/>
          <w:sz w:val="28"/>
          <w:szCs w:val="28"/>
        </w:rPr>
      </w:pPr>
      <w:bookmarkStart w:id="33" w:name="_heading=h.x6uxx38dvcsv" w:colFirst="0" w:colLast="0"/>
      <w:bookmarkEnd w:id="33"/>
      <w:r>
        <w:rPr>
          <w:b/>
          <w:sz w:val="28"/>
          <w:szCs w:val="28"/>
        </w:rPr>
        <w:t>Decomposition Analysis</w:t>
      </w:r>
    </w:p>
    <w:p w14:paraId="7B532CD9" w14:textId="77777777" w:rsidR="003B0E73" w:rsidRDefault="00017256">
      <w:pPr>
        <w:pStyle w:val="Heading2"/>
        <w:numPr>
          <w:ilvl w:val="1"/>
          <w:numId w:val="4"/>
        </w:numPr>
        <w:pBdr>
          <w:top w:val="nil"/>
          <w:left w:val="nil"/>
          <w:bottom w:val="nil"/>
          <w:right w:val="nil"/>
          <w:between w:val="nil"/>
        </w:pBdr>
      </w:pPr>
      <w:bookmarkStart w:id="34" w:name="_heading=h.tf31pqpuzu36" w:colFirst="0" w:colLast="0"/>
      <w:bookmarkEnd w:id="34"/>
      <w:r>
        <w:rPr>
          <w:sz w:val="24"/>
          <w:szCs w:val="24"/>
        </w:rPr>
        <w:t>The Authority requires the Supplier to source and access data to enable decomposition analysis of the gender pay gap in the UK. Any costs associated with accessing data should be included in the core contract price.</w:t>
      </w:r>
    </w:p>
    <w:p w14:paraId="40EC75DF" w14:textId="77777777" w:rsidR="003B0E73" w:rsidRDefault="00017256">
      <w:pPr>
        <w:pStyle w:val="Heading2"/>
        <w:numPr>
          <w:ilvl w:val="1"/>
          <w:numId w:val="4"/>
        </w:numPr>
        <w:pBdr>
          <w:top w:val="nil"/>
          <w:left w:val="nil"/>
          <w:bottom w:val="nil"/>
          <w:right w:val="nil"/>
          <w:between w:val="nil"/>
        </w:pBdr>
      </w:pPr>
      <w:bookmarkStart w:id="35" w:name="_heading=h.1xvyogucs3ga" w:colFirst="0" w:colLast="0"/>
      <w:bookmarkEnd w:id="35"/>
      <w:r>
        <w:rPr>
          <w:sz w:val="24"/>
          <w:szCs w:val="24"/>
        </w:rPr>
        <w:t>The Supplier will conduct decomposition analysis on the GPG to address:</w:t>
      </w:r>
    </w:p>
    <w:p w14:paraId="4A72BB5C" w14:textId="77777777" w:rsidR="003B0E73" w:rsidRDefault="00017256">
      <w:pPr>
        <w:pStyle w:val="Heading2"/>
        <w:numPr>
          <w:ilvl w:val="1"/>
          <w:numId w:val="5"/>
        </w:numPr>
        <w:ind w:left="1440" w:firstLine="2552"/>
        <w:rPr>
          <w:b/>
          <w:sz w:val="24"/>
          <w:szCs w:val="24"/>
        </w:rPr>
      </w:pPr>
      <w:r>
        <w:rPr>
          <w:b/>
          <w:sz w:val="24"/>
          <w:szCs w:val="24"/>
        </w:rPr>
        <w:t xml:space="preserve">Objective 1: Explore the drivers and protective factors of the GPG </w:t>
      </w:r>
    </w:p>
    <w:p w14:paraId="2E8A9FF9" w14:textId="77777777" w:rsidR="003B0E73" w:rsidRDefault="00017256">
      <w:pPr>
        <w:pStyle w:val="Heading2"/>
        <w:numPr>
          <w:ilvl w:val="1"/>
          <w:numId w:val="11"/>
        </w:numPr>
        <w:ind w:left="993" w:hanging="142"/>
        <w:rPr>
          <w:sz w:val="24"/>
          <w:szCs w:val="24"/>
        </w:rPr>
      </w:pPr>
      <w:bookmarkStart w:id="36" w:name="_heading=h.h9zy48ugu9v3" w:colFirst="0" w:colLast="0"/>
      <w:bookmarkEnd w:id="36"/>
      <w:r>
        <w:rPr>
          <w:sz w:val="24"/>
          <w:szCs w:val="24"/>
        </w:rPr>
        <w:t>Research questions:</w:t>
      </w:r>
    </w:p>
    <w:p w14:paraId="1727EE59" w14:textId="77777777" w:rsidR="003B0E73" w:rsidRDefault="00017256">
      <w:pPr>
        <w:pStyle w:val="Heading2"/>
        <w:numPr>
          <w:ilvl w:val="0"/>
          <w:numId w:val="3"/>
        </w:numPr>
        <w:pBdr>
          <w:top w:val="nil"/>
          <w:left w:val="nil"/>
          <w:bottom w:val="nil"/>
          <w:right w:val="nil"/>
          <w:between w:val="nil"/>
        </w:pBdr>
        <w:ind w:left="1417" w:hanging="283"/>
        <w:rPr>
          <w:sz w:val="24"/>
          <w:szCs w:val="24"/>
        </w:rPr>
      </w:pPr>
      <w:bookmarkStart w:id="37" w:name="_heading=h.s0ciecou9jxm" w:colFirst="0" w:colLast="0"/>
      <w:bookmarkEnd w:id="37"/>
      <w:r>
        <w:rPr>
          <w:sz w:val="24"/>
          <w:szCs w:val="24"/>
        </w:rPr>
        <w:t>What are the drivers and protective factors of the GPG?</w:t>
      </w:r>
    </w:p>
    <w:p w14:paraId="71EF8C78" w14:textId="77777777" w:rsidR="003B0E73" w:rsidRDefault="00017256">
      <w:pPr>
        <w:pStyle w:val="Heading2"/>
        <w:numPr>
          <w:ilvl w:val="0"/>
          <w:numId w:val="3"/>
        </w:numPr>
        <w:pBdr>
          <w:top w:val="nil"/>
          <w:left w:val="nil"/>
          <w:bottom w:val="nil"/>
          <w:right w:val="nil"/>
          <w:between w:val="nil"/>
        </w:pBdr>
        <w:ind w:left="1417" w:hanging="283"/>
        <w:rPr>
          <w:sz w:val="24"/>
          <w:szCs w:val="24"/>
        </w:rPr>
      </w:pPr>
      <w:bookmarkStart w:id="38" w:name="_heading=h.qkb9k51ndz9c" w:colFirst="0" w:colLast="0"/>
      <w:bookmarkEnd w:id="38"/>
      <w:r>
        <w:rPr>
          <w:sz w:val="24"/>
          <w:szCs w:val="24"/>
        </w:rPr>
        <w:lastRenderedPageBreak/>
        <w:t>What is their relative importance in driving GPG?</w:t>
      </w:r>
    </w:p>
    <w:p w14:paraId="0DECC405" w14:textId="77777777" w:rsidR="003B0E73" w:rsidRDefault="00017256">
      <w:pPr>
        <w:pStyle w:val="Heading2"/>
        <w:numPr>
          <w:ilvl w:val="0"/>
          <w:numId w:val="3"/>
        </w:numPr>
        <w:pBdr>
          <w:top w:val="nil"/>
          <w:left w:val="nil"/>
          <w:bottom w:val="nil"/>
          <w:right w:val="nil"/>
          <w:between w:val="nil"/>
        </w:pBdr>
        <w:ind w:left="1417" w:hanging="283"/>
        <w:rPr>
          <w:sz w:val="24"/>
          <w:szCs w:val="24"/>
        </w:rPr>
      </w:pPr>
      <w:bookmarkStart w:id="39" w:name="_heading=h.xa8antrurrbz" w:colFirst="0" w:colLast="0"/>
      <w:bookmarkEnd w:id="39"/>
      <w:r>
        <w:rPr>
          <w:sz w:val="24"/>
          <w:szCs w:val="24"/>
        </w:rPr>
        <w:t>How has the relative importance of the drivers and protective factors changed over time?</w:t>
      </w:r>
    </w:p>
    <w:p w14:paraId="4F28A0FF" w14:textId="77777777" w:rsidR="003B0E73" w:rsidRDefault="00017256">
      <w:pPr>
        <w:pStyle w:val="Heading2"/>
        <w:numPr>
          <w:ilvl w:val="1"/>
          <w:numId w:val="4"/>
        </w:numPr>
        <w:pBdr>
          <w:top w:val="nil"/>
          <w:left w:val="nil"/>
          <w:bottom w:val="nil"/>
          <w:right w:val="nil"/>
          <w:between w:val="nil"/>
        </w:pBdr>
      </w:pPr>
      <w:bookmarkStart w:id="40" w:name="_heading=h.cqv15kjgqam" w:colFirst="0" w:colLast="0"/>
      <w:bookmarkEnd w:id="40"/>
      <w:r>
        <w:rPr>
          <w:sz w:val="24"/>
          <w:szCs w:val="24"/>
        </w:rPr>
        <w:t>The Supplier should also be open to emerging themes that are relevant to the subjects and questions throughout the data analysis process, for example differences or changes across geographies, industrial sectors and occupations. The Supplier should highlight information and findings which could help shape actions to close the GPG and which illustrates how employers have a role in closing the GPG.</w:t>
      </w:r>
    </w:p>
    <w:p w14:paraId="64B544C8" w14:textId="77777777" w:rsidR="003B0E73" w:rsidRDefault="00017256">
      <w:pPr>
        <w:pStyle w:val="Heading2"/>
        <w:numPr>
          <w:ilvl w:val="1"/>
          <w:numId w:val="4"/>
        </w:numPr>
      </w:pPr>
      <w:bookmarkStart w:id="41" w:name="_heading=h.6pws98bv73gb" w:colFirst="0" w:colLast="0"/>
      <w:bookmarkEnd w:id="41"/>
      <w:r>
        <w:rPr>
          <w:sz w:val="24"/>
          <w:szCs w:val="24"/>
        </w:rPr>
        <w:t xml:space="preserve">The Authority welcomes innovative approaches to the decomposition analysis, but should use previous work as a guide, particularly Olsen et al. 2018 ‘The gender pay gap in the UK: evidence from the </w:t>
      </w:r>
      <w:proofErr w:type="gramStart"/>
      <w:r>
        <w:rPr>
          <w:sz w:val="24"/>
          <w:szCs w:val="24"/>
        </w:rPr>
        <w:t>UKHLS‘</w:t>
      </w:r>
      <w:proofErr w:type="gramEnd"/>
      <w:r>
        <w:rPr>
          <w:sz w:val="24"/>
          <w:szCs w:val="24"/>
          <w:vertAlign w:val="superscript"/>
        </w:rPr>
        <w:footnoteReference w:id="10"/>
      </w:r>
      <w:r>
        <w:rPr>
          <w:sz w:val="24"/>
          <w:szCs w:val="24"/>
        </w:rPr>
        <w:t xml:space="preserve"> and Olsen et al. 2010 ‘The Gender Pay Gap in the UK 1995-2007’</w:t>
      </w:r>
      <w:r>
        <w:rPr>
          <w:sz w:val="24"/>
          <w:szCs w:val="24"/>
          <w:vertAlign w:val="superscript"/>
        </w:rPr>
        <w:footnoteReference w:id="11"/>
      </w:r>
      <w:r>
        <w:rPr>
          <w:sz w:val="24"/>
          <w:szCs w:val="24"/>
        </w:rPr>
        <w:t>. The analysis should be similar enough to be compared, where possible, with this previous work.</w:t>
      </w:r>
    </w:p>
    <w:p w14:paraId="191C86F3" w14:textId="77777777" w:rsidR="003B0E73" w:rsidRDefault="00017256">
      <w:pPr>
        <w:pStyle w:val="Heading2"/>
        <w:numPr>
          <w:ilvl w:val="1"/>
          <w:numId w:val="4"/>
        </w:numPr>
        <w:pBdr>
          <w:top w:val="nil"/>
          <w:left w:val="nil"/>
          <w:bottom w:val="nil"/>
          <w:right w:val="nil"/>
          <w:between w:val="nil"/>
        </w:pBdr>
      </w:pPr>
      <w:bookmarkStart w:id="42" w:name="_heading=h.qsap4iqreibq" w:colFirst="0" w:colLast="0"/>
      <w:bookmarkEnd w:id="42"/>
      <w:r>
        <w:rPr>
          <w:sz w:val="24"/>
          <w:szCs w:val="24"/>
        </w:rPr>
        <w:t>The decomposition analysis will highlight the drivers and protective factors of the GPG in the UK. Emerging findings should be shared with the Authority as soon as available in order to inform key policy decisions.</w:t>
      </w:r>
    </w:p>
    <w:p w14:paraId="7671C708" w14:textId="77777777" w:rsidR="003B0E73" w:rsidRDefault="00017256">
      <w:pPr>
        <w:pStyle w:val="Heading3"/>
        <w:numPr>
          <w:ilvl w:val="0"/>
          <w:numId w:val="9"/>
        </w:numPr>
        <w:rPr>
          <w:b/>
          <w:sz w:val="28"/>
          <w:szCs w:val="28"/>
        </w:rPr>
      </w:pPr>
      <w:bookmarkStart w:id="43" w:name="_heading=h.crzvv24d0dr5" w:colFirst="0" w:colLast="0"/>
      <w:bookmarkEnd w:id="43"/>
      <w:r>
        <w:rPr>
          <w:b/>
          <w:sz w:val="28"/>
          <w:szCs w:val="28"/>
        </w:rPr>
        <w:t>Critical Evidence Review</w:t>
      </w:r>
    </w:p>
    <w:p w14:paraId="05ED64F0" w14:textId="77777777" w:rsidR="003B0E73" w:rsidRDefault="00017256">
      <w:pPr>
        <w:pStyle w:val="Heading2"/>
        <w:numPr>
          <w:ilvl w:val="1"/>
          <w:numId w:val="4"/>
        </w:numPr>
        <w:pBdr>
          <w:top w:val="nil"/>
          <w:left w:val="nil"/>
          <w:bottom w:val="nil"/>
          <w:right w:val="nil"/>
          <w:between w:val="nil"/>
        </w:pBdr>
      </w:pPr>
      <w:bookmarkStart w:id="44" w:name="_heading=h.wvjck7g602d8" w:colFirst="0" w:colLast="0"/>
      <w:bookmarkEnd w:id="44"/>
      <w:r>
        <w:rPr>
          <w:sz w:val="24"/>
          <w:szCs w:val="24"/>
        </w:rPr>
        <w:t>The Supplier shall undertake a critical evidence review of research into the current gender pay landscape to address:</w:t>
      </w:r>
    </w:p>
    <w:p w14:paraId="7F45F55E" w14:textId="77777777" w:rsidR="003B0E73" w:rsidRDefault="00017256">
      <w:pPr>
        <w:pStyle w:val="Heading2"/>
        <w:numPr>
          <w:ilvl w:val="1"/>
          <w:numId w:val="5"/>
        </w:numPr>
        <w:ind w:left="644"/>
        <w:rPr>
          <w:b/>
          <w:sz w:val="24"/>
          <w:szCs w:val="24"/>
        </w:rPr>
      </w:pPr>
      <w:bookmarkStart w:id="45" w:name="_heading=h.hy4mm9js4q6" w:colFirst="0" w:colLast="0"/>
      <w:bookmarkEnd w:id="45"/>
      <w:r>
        <w:rPr>
          <w:b/>
          <w:sz w:val="24"/>
          <w:szCs w:val="24"/>
        </w:rPr>
        <w:t>Objective 2: Assess the decomposition analysis findings to understand how the GPG can be reduced.</w:t>
      </w:r>
    </w:p>
    <w:p w14:paraId="39E32177" w14:textId="77777777" w:rsidR="003B0E73" w:rsidRDefault="00017256">
      <w:pPr>
        <w:pStyle w:val="Heading2"/>
        <w:numPr>
          <w:ilvl w:val="1"/>
          <w:numId w:val="11"/>
        </w:numPr>
        <w:ind w:left="993" w:hanging="709"/>
        <w:rPr>
          <w:sz w:val="24"/>
          <w:szCs w:val="24"/>
        </w:rPr>
      </w:pPr>
      <w:bookmarkStart w:id="46" w:name="_heading=h.w1660bh3d4wi" w:colFirst="0" w:colLast="0"/>
      <w:bookmarkEnd w:id="46"/>
      <w:r>
        <w:rPr>
          <w:sz w:val="24"/>
          <w:szCs w:val="24"/>
        </w:rPr>
        <w:t>Research questions:</w:t>
      </w:r>
    </w:p>
    <w:p w14:paraId="5987B80F" w14:textId="77777777" w:rsidR="003B0E73" w:rsidRDefault="00017256">
      <w:pPr>
        <w:pStyle w:val="Heading2"/>
        <w:numPr>
          <w:ilvl w:val="0"/>
          <w:numId w:val="11"/>
        </w:numPr>
        <w:rPr>
          <w:sz w:val="24"/>
          <w:szCs w:val="24"/>
        </w:rPr>
      </w:pPr>
      <w:bookmarkStart w:id="47" w:name="_heading=h.34uruevyswg9" w:colFirst="0" w:colLast="0"/>
      <w:bookmarkEnd w:id="47"/>
      <w:r>
        <w:rPr>
          <w:sz w:val="24"/>
          <w:szCs w:val="24"/>
        </w:rPr>
        <w:t>Why has the relative importance of the drivers and protective factors of the GPG identified by the decomposition analysis changed over time?</w:t>
      </w:r>
    </w:p>
    <w:p w14:paraId="46ACEB85" w14:textId="77777777" w:rsidR="003B0E73" w:rsidRDefault="00017256">
      <w:pPr>
        <w:pStyle w:val="Heading2"/>
        <w:numPr>
          <w:ilvl w:val="0"/>
          <w:numId w:val="11"/>
        </w:numPr>
        <w:rPr>
          <w:sz w:val="24"/>
          <w:szCs w:val="24"/>
        </w:rPr>
      </w:pPr>
      <w:bookmarkStart w:id="48" w:name="_heading=h.je7mxls9pod0" w:colFirst="0" w:colLast="0"/>
      <w:bookmarkEnd w:id="48"/>
      <w:r>
        <w:rPr>
          <w:sz w:val="24"/>
          <w:szCs w:val="24"/>
        </w:rPr>
        <w:t>What effective actions can be taken to reduce the identified drivers of the gender pay gap?</w:t>
      </w:r>
    </w:p>
    <w:p w14:paraId="72D41F83" w14:textId="77777777" w:rsidR="003B0E73" w:rsidRDefault="00017256">
      <w:pPr>
        <w:pStyle w:val="Heading2"/>
        <w:numPr>
          <w:ilvl w:val="0"/>
          <w:numId w:val="11"/>
        </w:numPr>
        <w:rPr>
          <w:sz w:val="24"/>
          <w:szCs w:val="24"/>
        </w:rPr>
      </w:pPr>
      <w:bookmarkStart w:id="49" w:name="_heading=h.jdpg89j57gfu" w:colFirst="0" w:colLast="0"/>
      <w:bookmarkEnd w:id="49"/>
      <w:r>
        <w:rPr>
          <w:sz w:val="24"/>
          <w:szCs w:val="24"/>
        </w:rPr>
        <w:t>What barriers and enablers might prevent or facilitate the actions identified above from being effective?</w:t>
      </w:r>
    </w:p>
    <w:p w14:paraId="4EC9C865" w14:textId="77777777" w:rsidR="003B0E73" w:rsidRDefault="00017256">
      <w:pPr>
        <w:pStyle w:val="Heading2"/>
        <w:numPr>
          <w:ilvl w:val="1"/>
          <w:numId w:val="4"/>
        </w:numPr>
      </w:pPr>
      <w:bookmarkStart w:id="50" w:name="_heading=h.b2g984h2hxk2" w:colFirst="0" w:colLast="0"/>
      <w:bookmarkEnd w:id="50"/>
      <w:r>
        <w:rPr>
          <w:sz w:val="24"/>
          <w:szCs w:val="24"/>
        </w:rPr>
        <w:lastRenderedPageBreak/>
        <w:t>The critical evidence review should focus on:</w:t>
      </w:r>
    </w:p>
    <w:p w14:paraId="2E19A26F" w14:textId="77777777" w:rsidR="003B0E73" w:rsidRDefault="00017256">
      <w:pPr>
        <w:pStyle w:val="Heading2"/>
        <w:numPr>
          <w:ilvl w:val="0"/>
          <w:numId w:val="11"/>
        </w:numPr>
        <w:pBdr>
          <w:top w:val="nil"/>
          <w:left w:val="nil"/>
          <w:bottom w:val="nil"/>
          <w:right w:val="nil"/>
          <w:between w:val="nil"/>
        </w:pBdr>
        <w:rPr>
          <w:sz w:val="24"/>
          <w:szCs w:val="24"/>
        </w:rPr>
      </w:pPr>
      <w:bookmarkStart w:id="51" w:name="_heading=h.xkfeixth9osv" w:colFirst="0" w:colLast="0"/>
      <w:bookmarkEnd w:id="51"/>
      <w:r>
        <w:rPr>
          <w:sz w:val="24"/>
          <w:szCs w:val="24"/>
        </w:rPr>
        <w:t xml:space="preserve">Effective actions to reduce the GPG, particularly actions which address the largest drivers of the GPG identified in </w:t>
      </w:r>
      <w:r>
        <w:rPr>
          <w:b/>
          <w:sz w:val="24"/>
          <w:szCs w:val="24"/>
        </w:rPr>
        <w:t>B. Decomposition analysis</w:t>
      </w:r>
      <w:r>
        <w:rPr>
          <w:sz w:val="24"/>
          <w:szCs w:val="24"/>
        </w:rPr>
        <w:t>.</w:t>
      </w:r>
    </w:p>
    <w:p w14:paraId="28794AB3" w14:textId="77777777" w:rsidR="003B0E73" w:rsidRDefault="00017256">
      <w:pPr>
        <w:pStyle w:val="Heading2"/>
        <w:numPr>
          <w:ilvl w:val="0"/>
          <w:numId w:val="11"/>
        </w:numPr>
        <w:pBdr>
          <w:top w:val="nil"/>
          <w:left w:val="nil"/>
          <w:bottom w:val="nil"/>
          <w:right w:val="nil"/>
          <w:between w:val="nil"/>
        </w:pBdr>
        <w:rPr>
          <w:sz w:val="24"/>
          <w:szCs w:val="24"/>
        </w:rPr>
      </w:pPr>
      <w:bookmarkStart w:id="52" w:name="_heading=h.yj9xla7ri6oh" w:colFirst="0" w:colLast="0"/>
      <w:bookmarkEnd w:id="52"/>
      <w:r>
        <w:rPr>
          <w:sz w:val="24"/>
          <w:szCs w:val="24"/>
        </w:rPr>
        <w:t xml:space="preserve">Evidence of the drivers of the GPG in the UK that are not quantified in </w:t>
      </w:r>
      <w:r>
        <w:rPr>
          <w:b/>
          <w:sz w:val="24"/>
          <w:szCs w:val="24"/>
        </w:rPr>
        <w:t>B. Decomposition analysis</w:t>
      </w:r>
      <w:r>
        <w:rPr>
          <w:sz w:val="24"/>
          <w:szCs w:val="24"/>
        </w:rPr>
        <w:t>. This is to address the large “unexplained” component of the GPG found by previous analyses</w:t>
      </w:r>
      <w:r>
        <w:rPr>
          <w:sz w:val="24"/>
          <w:szCs w:val="24"/>
          <w:vertAlign w:val="superscript"/>
        </w:rPr>
        <w:footnoteReference w:id="12"/>
      </w:r>
      <w:r>
        <w:rPr>
          <w:sz w:val="24"/>
          <w:szCs w:val="24"/>
        </w:rPr>
        <w:t xml:space="preserve">, </w:t>
      </w:r>
      <w:r>
        <w:rPr>
          <w:sz w:val="24"/>
          <w:szCs w:val="24"/>
          <w:vertAlign w:val="superscript"/>
        </w:rPr>
        <w:footnoteReference w:id="13"/>
      </w:r>
      <w:r>
        <w:rPr>
          <w:sz w:val="24"/>
          <w:szCs w:val="24"/>
        </w:rPr>
        <w:t>.</w:t>
      </w:r>
    </w:p>
    <w:p w14:paraId="50338EB7" w14:textId="77777777" w:rsidR="003B0E73" w:rsidRDefault="00017256">
      <w:pPr>
        <w:pStyle w:val="Heading2"/>
        <w:numPr>
          <w:ilvl w:val="1"/>
          <w:numId w:val="4"/>
        </w:numPr>
        <w:pBdr>
          <w:top w:val="nil"/>
          <w:left w:val="nil"/>
          <w:bottom w:val="nil"/>
          <w:right w:val="nil"/>
          <w:between w:val="nil"/>
        </w:pBdr>
      </w:pPr>
      <w:bookmarkStart w:id="53" w:name="_heading=h.5ye8hk9l0mwe" w:colFirst="0" w:colLast="0"/>
      <w:bookmarkEnd w:id="53"/>
      <w:r>
        <w:rPr>
          <w:sz w:val="24"/>
          <w:szCs w:val="24"/>
        </w:rPr>
        <w:t>The supplier should consider a broad range of effective actions to reduce the GPG including, but not limited to, actions by individuals, employers and governments, legislative and non-legislative options, best practice for businesses and educational institutions, and other relevant areas.</w:t>
      </w:r>
    </w:p>
    <w:p w14:paraId="64F6EC94" w14:textId="77777777" w:rsidR="003B0E73" w:rsidRDefault="00017256">
      <w:pPr>
        <w:pStyle w:val="Heading2"/>
        <w:numPr>
          <w:ilvl w:val="1"/>
          <w:numId w:val="4"/>
        </w:numPr>
        <w:pBdr>
          <w:top w:val="nil"/>
          <w:left w:val="nil"/>
          <w:bottom w:val="nil"/>
          <w:right w:val="nil"/>
          <w:between w:val="nil"/>
        </w:pBdr>
      </w:pPr>
      <w:bookmarkStart w:id="54" w:name="_heading=h.p1dkemue5cvr" w:colFirst="0" w:colLast="0"/>
      <w:bookmarkEnd w:id="54"/>
      <w:r>
        <w:rPr>
          <w:sz w:val="24"/>
          <w:szCs w:val="24"/>
        </w:rPr>
        <w:t>The Supplier should consider the interplay between actions and how that will impact and limit their effectiveness. For example, the effectiveness of investing in childcare may be limited by working patterns. The Supplier should also consider the effects of constraining factors on actions. For example, if societal norms around caring prevent actions on childcare from reaching full utility.</w:t>
      </w:r>
    </w:p>
    <w:p w14:paraId="6FDECB65" w14:textId="77777777" w:rsidR="003B0E73" w:rsidRDefault="00017256">
      <w:pPr>
        <w:pStyle w:val="Heading2"/>
        <w:numPr>
          <w:ilvl w:val="1"/>
          <w:numId w:val="4"/>
        </w:numPr>
        <w:pBdr>
          <w:top w:val="nil"/>
          <w:left w:val="nil"/>
          <w:bottom w:val="nil"/>
          <w:right w:val="nil"/>
          <w:between w:val="nil"/>
        </w:pBdr>
      </w:pPr>
      <w:bookmarkStart w:id="55" w:name="_heading=h.5ijtsygc54u4" w:colFirst="0" w:colLast="0"/>
      <w:bookmarkEnd w:id="55"/>
      <w:r>
        <w:rPr>
          <w:sz w:val="24"/>
          <w:szCs w:val="24"/>
        </w:rPr>
        <w:t>The Supplier should consider and address the potential effects of planned Government action to improve equalities, such as the Employment Rights Bill and Equality (Race and Disability) Bill.</w:t>
      </w:r>
    </w:p>
    <w:p w14:paraId="512DD588" w14:textId="77777777" w:rsidR="003B0E73" w:rsidRDefault="00017256">
      <w:pPr>
        <w:pStyle w:val="Heading2"/>
        <w:numPr>
          <w:ilvl w:val="1"/>
          <w:numId w:val="4"/>
        </w:numPr>
        <w:pBdr>
          <w:top w:val="nil"/>
          <w:left w:val="nil"/>
          <w:bottom w:val="nil"/>
          <w:right w:val="nil"/>
          <w:between w:val="nil"/>
        </w:pBdr>
      </w:pPr>
      <w:bookmarkStart w:id="56" w:name="_heading=h.o9b1thx9qref" w:colFirst="0" w:colLast="0"/>
      <w:bookmarkEnd w:id="56"/>
      <w:r>
        <w:rPr>
          <w:sz w:val="24"/>
          <w:szCs w:val="24"/>
        </w:rPr>
        <w:t>The Supplier should advise on further work which might be undertaken to quantify and assess the size of the likely elements of the unexplained component.</w:t>
      </w:r>
    </w:p>
    <w:p w14:paraId="6665955A" w14:textId="77777777" w:rsidR="003B0E73" w:rsidRDefault="00017256">
      <w:pPr>
        <w:pStyle w:val="Heading2"/>
        <w:numPr>
          <w:ilvl w:val="1"/>
          <w:numId w:val="4"/>
        </w:numPr>
        <w:pBdr>
          <w:top w:val="nil"/>
          <w:left w:val="nil"/>
          <w:bottom w:val="nil"/>
          <w:right w:val="nil"/>
          <w:between w:val="nil"/>
        </w:pBdr>
      </w:pPr>
      <w:bookmarkStart w:id="57" w:name="_heading=h.bx0gf5q6ynww" w:colFirst="0" w:colLast="0"/>
      <w:bookmarkEnd w:id="57"/>
      <w:r>
        <w:rPr>
          <w:sz w:val="24"/>
          <w:szCs w:val="24"/>
        </w:rPr>
        <w:t>It is expected that the Supplier will have access to an array of literature. The evidence for consideration in the review should include:</w:t>
      </w:r>
    </w:p>
    <w:p w14:paraId="621F7A74" w14:textId="77777777" w:rsidR="003B0E73" w:rsidRDefault="00017256">
      <w:pPr>
        <w:pStyle w:val="Heading2"/>
        <w:numPr>
          <w:ilvl w:val="0"/>
          <w:numId w:val="12"/>
        </w:numPr>
        <w:pBdr>
          <w:top w:val="nil"/>
          <w:left w:val="nil"/>
          <w:bottom w:val="nil"/>
          <w:right w:val="nil"/>
          <w:between w:val="nil"/>
        </w:pBdr>
        <w:ind w:left="1417" w:hanging="283"/>
        <w:rPr>
          <w:sz w:val="24"/>
          <w:szCs w:val="24"/>
        </w:rPr>
      </w:pPr>
      <w:bookmarkStart w:id="58" w:name="_heading=h.9y7odc4szxeg" w:colFirst="0" w:colLast="0"/>
      <w:bookmarkEnd w:id="58"/>
      <w:r>
        <w:rPr>
          <w:sz w:val="24"/>
          <w:szCs w:val="24"/>
        </w:rPr>
        <w:t>All relevant English language evidence from 2005 - present, including seminal reports from earlier and in other languages if considered relevant and appropriate for the review.</w:t>
      </w:r>
    </w:p>
    <w:p w14:paraId="6CA9AF65" w14:textId="77777777" w:rsidR="003B0E73" w:rsidRDefault="00017256">
      <w:pPr>
        <w:pStyle w:val="Heading2"/>
        <w:numPr>
          <w:ilvl w:val="0"/>
          <w:numId w:val="12"/>
        </w:numPr>
        <w:pBdr>
          <w:top w:val="nil"/>
          <w:left w:val="nil"/>
          <w:bottom w:val="nil"/>
          <w:right w:val="nil"/>
          <w:between w:val="nil"/>
        </w:pBdr>
        <w:ind w:left="1417" w:hanging="283"/>
        <w:rPr>
          <w:sz w:val="24"/>
          <w:szCs w:val="24"/>
        </w:rPr>
      </w:pPr>
      <w:bookmarkStart w:id="59" w:name="_heading=h.mukehghnupht" w:colFirst="0" w:colLast="0"/>
      <w:bookmarkEnd w:id="59"/>
      <w:r>
        <w:rPr>
          <w:sz w:val="24"/>
          <w:szCs w:val="24"/>
        </w:rPr>
        <w:t>Published research, grey literature, case law, academic, trade union and other relevant sources.</w:t>
      </w:r>
    </w:p>
    <w:p w14:paraId="44BAAE2D" w14:textId="77777777" w:rsidR="003B0E73" w:rsidRDefault="00017256">
      <w:pPr>
        <w:pStyle w:val="Heading2"/>
        <w:numPr>
          <w:ilvl w:val="0"/>
          <w:numId w:val="12"/>
        </w:numPr>
        <w:pBdr>
          <w:top w:val="nil"/>
          <w:left w:val="nil"/>
          <w:bottom w:val="nil"/>
          <w:right w:val="nil"/>
          <w:between w:val="nil"/>
        </w:pBdr>
        <w:ind w:left="1417" w:hanging="283"/>
        <w:rPr>
          <w:sz w:val="24"/>
          <w:szCs w:val="24"/>
        </w:rPr>
      </w:pPr>
      <w:bookmarkStart w:id="60" w:name="_heading=h.ffv19d53xe1q" w:colFirst="0" w:colLast="0"/>
      <w:bookmarkEnd w:id="60"/>
      <w:r>
        <w:rPr>
          <w:sz w:val="24"/>
          <w:szCs w:val="24"/>
        </w:rPr>
        <w:t>International evidence, although when presented this should be framed for the UK context.</w:t>
      </w:r>
    </w:p>
    <w:p w14:paraId="48B8D12F" w14:textId="77777777" w:rsidR="003B0E73" w:rsidRDefault="00017256">
      <w:pPr>
        <w:pStyle w:val="Heading2"/>
        <w:numPr>
          <w:ilvl w:val="0"/>
          <w:numId w:val="12"/>
        </w:numPr>
        <w:ind w:left="1417" w:hanging="283"/>
        <w:rPr>
          <w:sz w:val="24"/>
          <w:szCs w:val="24"/>
        </w:rPr>
      </w:pPr>
      <w:bookmarkStart w:id="61" w:name="_heading=h.7haxhh4uiv8o" w:colFirst="0" w:colLast="0"/>
      <w:bookmarkEnd w:id="61"/>
      <w:r>
        <w:rPr>
          <w:sz w:val="24"/>
          <w:szCs w:val="24"/>
        </w:rPr>
        <w:lastRenderedPageBreak/>
        <w:t>Studies involving quantitative or qualitative methods, or a range of methods.</w:t>
      </w:r>
    </w:p>
    <w:p w14:paraId="753DD3EF" w14:textId="77777777" w:rsidR="003B0E73" w:rsidRDefault="00017256">
      <w:pPr>
        <w:pStyle w:val="Heading2"/>
        <w:numPr>
          <w:ilvl w:val="1"/>
          <w:numId w:val="4"/>
        </w:numPr>
        <w:pBdr>
          <w:top w:val="nil"/>
          <w:left w:val="nil"/>
          <w:bottom w:val="nil"/>
          <w:right w:val="nil"/>
          <w:between w:val="nil"/>
        </w:pBdr>
      </w:pPr>
      <w:bookmarkStart w:id="62" w:name="_heading=h.key9ld74wao9" w:colFirst="0" w:colLast="0"/>
      <w:bookmarkEnd w:id="62"/>
      <w:r>
        <w:rPr>
          <w:sz w:val="24"/>
          <w:szCs w:val="24"/>
        </w:rPr>
        <w:t>A ‘systematic’ method of searching the literature must be used. This should be transparent and well-documented. Clear inclusion/exclusion criteria should be used and documented at the outset of the review to appraise studies included in the final report, along with a bibliography of research, with highlighted quality criteria. Where possible, given the time constraints, the evidence review should adopt the principles of Rapid Evidence Assessments. For more information about Rapid Evidence Assessments, please see the Government Social Research toolkit</w:t>
      </w:r>
      <w:r>
        <w:rPr>
          <w:sz w:val="24"/>
          <w:szCs w:val="24"/>
          <w:vertAlign w:val="superscript"/>
        </w:rPr>
        <w:footnoteReference w:id="14"/>
      </w:r>
      <w:r>
        <w:rPr>
          <w:sz w:val="24"/>
          <w:szCs w:val="24"/>
        </w:rPr>
        <w:t>.</w:t>
      </w:r>
    </w:p>
    <w:p w14:paraId="5FF86C30" w14:textId="77777777" w:rsidR="003B0E73" w:rsidRDefault="00017256">
      <w:pPr>
        <w:pStyle w:val="Heading2"/>
        <w:numPr>
          <w:ilvl w:val="1"/>
          <w:numId w:val="4"/>
        </w:numPr>
        <w:pBdr>
          <w:top w:val="nil"/>
          <w:left w:val="nil"/>
          <w:bottom w:val="nil"/>
          <w:right w:val="nil"/>
          <w:between w:val="nil"/>
        </w:pBdr>
      </w:pPr>
      <w:bookmarkStart w:id="63" w:name="_heading=h.96w227v8epy8" w:colFirst="0" w:colLast="0"/>
      <w:bookmarkEnd w:id="63"/>
      <w:r>
        <w:rPr>
          <w:sz w:val="24"/>
          <w:szCs w:val="24"/>
        </w:rPr>
        <w:t>The Supplier must clearly critically review (</w:t>
      </w:r>
      <w:proofErr w:type="gramStart"/>
      <w:r>
        <w:rPr>
          <w:sz w:val="24"/>
          <w:szCs w:val="24"/>
        </w:rPr>
        <w:t>i.e.</w:t>
      </w:r>
      <w:proofErr w:type="gramEnd"/>
      <w:r>
        <w:rPr>
          <w:sz w:val="24"/>
          <w:szCs w:val="24"/>
        </w:rPr>
        <w:t xml:space="preserve"> assess the strengths and weaknesses of) and document the following elements of each study considered when reviewing the relevant literature:</w:t>
      </w:r>
    </w:p>
    <w:p w14:paraId="585B4AB9" w14:textId="77777777" w:rsidR="003B0E73" w:rsidRDefault="00017256">
      <w:pPr>
        <w:pStyle w:val="Heading2"/>
        <w:numPr>
          <w:ilvl w:val="0"/>
          <w:numId w:val="10"/>
        </w:numPr>
        <w:ind w:left="1417" w:hanging="283"/>
        <w:rPr>
          <w:sz w:val="24"/>
          <w:szCs w:val="24"/>
        </w:rPr>
      </w:pPr>
      <w:bookmarkStart w:id="64" w:name="_heading=h.5pzlk3rsko8y" w:colFirst="0" w:colLast="0"/>
      <w:bookmarkEnd w:id="64"/>
      <w:r>
        <w:rPr>
          <w:sz w:val="24"/>
          <w:szCs w:val="24"/>
        </w:rPr>
        <w:t>The scope and size of the sample, including response rates.</w:t>
      </w:r>
    </w:p>
    <w:p w14:paraId="414E7A84" w14:textId="77777777" w:rsidR="003B0E73" w:rsidRDefault="00017256">
      <w:pPr>
        <w:pStyle w:val="Heading2"/>
        <w:numPr>
          <w:ilvl w:val="0"/>
          <w:numId w:val="10"/>
        </w:numPr>
        <w:ind w:left="1417" w:hanging="283"/>
        <w:rPr>
          <w:sz w:val="24"/>
          <w:szCs w:val="24"/>
        </w:rPr>
      </w:pPr>
      <w:bookmarkStart w:id="65" w:name="_heading=h.7ll4qx6s8zev" w:colFirst="0" w:colLast="0"/>
      <w:bookmarkEnd w:id="65"/>
      <w:r>
        <w:rPr>
          <w:sz w:val="24"/>
          <w:szCs w:val="24"/>
        </w:rPr>
        <w:t>The research questions/hypotheses posed.</w:t>
      </w:r>
    </w:p>
    <w:p w14:paraId="7ABEF596" w14:textId="77777777" w:rsidR="003B0E73" w:rsidRDefault="00017256">
      <w:pPr>
        <w:pStyle w:val="Heading2"/>
        <w:numPr>
          <w:ilvl w:val="0"/>
          <w:numId w:val="10"/>
        </w:numPr>
        <w:ind w:left="1417" w:hanging="283"/>
        <w:rPr>
          <w:sz w:val="24"/>
          <w:szCs w:val="24"/>
        </w:rPr>
      </w:pPr>
      <w:bookmarkStart w:id="66" w:name="_heading=h.sffnf8pgp87h" w:colFirst="0" w:colLast="0"/>
      <w:bookmarkEnd w:id="66"/>
      <w:r>
        <w:rPr>
          <w:sz w:val="24"/>
          <w:szCs w:val="24"/>
        </w:rPr>
        <w:t xml:space="preserve">The research </w:t>
      </w:r>
      <w:proofErr w:type="gramStart"/>
      <w:r>
        <w:rPr>
          <w:sz w:val="24"/>
          <w:szCs w:val="24"/>
        </w:rPr>
        <w:t>design</w:t>
      </w:r>
      <w:proofErr w:type="gramEnd"/>
      <w:r>
        <w:rPr>
          <w:sz w:val="24"/>
          <w:szCs w:val="24"/>
        </w:rPr>
        <w:t>.</w:t>
      </w:r>
    </w:p>
    <w:p w14:paraId="0AE08151" w14:textId="77777777" w:rsidR="003B0E73" w:rsidRDefault="00017256">
      <w:pPr>
        <w:pStyle w:val="Heading2"/>
        <w:numPr>
          <w:ilvl w:val="0"/>
          <w:numId w:val="10"/>
        </w:numPr>
        <w:ind w:left="1417" w:hanging="283"/>
        <w:rPr>
          <w:sz w:val="24"/>
          <w:szCs w:val="24"/>
        </w:rPr>
      </w:pPr>
      <w:bookmarkStart w:id="67" w:name="_heading=h.9fewfa7id16u" w:colFirst="0" w:colLast="0"/>
      <w:bookmarkEnd w:id="67"/>
      <w:r>
        <w:rPr>
          <w:sz w:val="24"/>
          <w:szCs w:val="24"/>
        </w:rPr>
        <w:t>The nature and quality of the fieldwork.</w:t>
      </w:r>
    </w:p>
    <w:p w14:paraId="61CDC3C9" w14:textId="77777777" w:rsidR="003B0E73" w:rsidRDefault="00017256">
      <w:pPr>
        <w:pStyle w:val="Heading2"/>
        <w:numPr>
          <w:ilvl w:val="0"/>
          <w:numId w:val="10"/>
        </w:numPr>
        <w:ind w:left="1417" w:hanging="283"/>
        <w:rPr>
          <w:sz w:val="24"/>
          <w:szCs w:val="24"/>
        </w:rPr>
      </w:pPr>
      <w:bookmarkStart w:id="68" w:name="_heading=h.56dzv2jc280v" w:colFirst="0" w:colLast="0"/>
      <w:bookmarkEnd w:id="68"/>
      <w:r>
        <w:rPr>
          <w:sz w:val="24"/>
          <w:szCs w:val="24"/>
        </w:rPr>
        <w:t>The analysis and the nature and robustness of findings.</w:t>
      </w:r>
    </w:p>
    <w:p w14:paraId="2DDCDB2D" w14:textId="77777777" w:rsidR="003B0E73" w:rsidRDefault="00017256">
      <w:pPr>
        <w:pStyle w:val="Heading2"/>
        <w:numPr>
          <w:ilvl w:val="0"/>
          <w:numId w:val="10"/>
        </w:numPr>
        <w:ind w:left="1417" w:hanging="283"/>
        <w:rPr>
          <w:sz w:val="24"/>
          <w:szCs w:val="24"/>
        </w:rPr>
      </w:pPr>
      <w:bookmarkStart w:id="69" w:name="_heading=h.plq2d2fytcq" w:colFirst="0" w:colLast="0"/>
      <w:bookmarkEnd w:id="69"/>
      <w:r>
        <w:rPr>
          <w:sz w:val="24"/>
          <w:szCs w:val="24"/>
        </w:rPr>
        <w:t>Any evidence gaps and/or limitations associated with the methodology employed.</w:t>
      </w:r>
    </w:p>
    <w:p w14:paraId="0CD10912" w14:textId="77777777" w:rsidR="003B0E73" w:rsidRDefault="00017256">
      <w:pPr>
        <w:pStyle w:val="Heading2"/>
        <w:numPr>
          <w:ilvl w:val="0"/>
          <w:numId w:val="10"/>
        </w:numPr>
        <w:ind w:left="1417" w:hanging="283"/>
        <w:rPr>
          <w:sz w:val="24"/>
          <w:szCs w:val="24"/>
        </w:rPr>
      </w:pPr>
      <w:bookmarkStart w:id="70" w:name="_heading=h.hirxmcjlgdig" w:colFirst="0" w:colLast="0"/>
      <w:bookmarkEnd w:id="70"/>
      <w:r>
        <w:rPr>
          <w:sz w:val="24"/>
          <w:szCs w:val="24"/>
        </w:rPr>
        <w:t>How the findings should inform subsequent research.</w:t>
      </w:r>
    </w:p>
    <w:p w14:paraId="4A55A219" w14:textId="77777777" w:rsidR="003B0E73" w:rsidRDefault="00017256">
      <w:pPr>
        <w:pStyle w:val="Heading2"/>
        <w:numPr>
          <w:ilvl w:val="1"/>
          <w:numId w:val="4"/>
        </w:numPr>
        <w:pBdr>
          <w:top w:val="nil"/>
          <w:left w:val="nil"/>
          <w:bottom w:val="nil"/>
          <w:right w:val="nil"/>
          <w:between w:val="nil"/>
        </w:pBdr>
      </w:pPr>
      <w:bookmarkStart w:id="71" w:name="_heading=h.p79pzeijjbxf" w:colFirst="0" w:colLast="0"/>
      <w:bookmarkEnd w:id="71"/>
      <w:r>
        <w:rPr>
          <w:sz w:val="24"/>
          <w:szCs w:val="24"/>
        </w:rPr>
        <w:t>The Supplier is required to agree the final search strategy and proposed methodology with the Authority before commencing the critical evidence review.</w:t>
      </w:r>
    </w:p>
    <w:p w14:paraId="52387984" w14:textId="77777777" w:rsidR="003B0E73" w:rsidRDefault="00017256">
      <w:pPr>
        <w:pStyle w:val="Heading2"/>
        <w:numPr>
          <w:ilvl w:val="1"/>
          <w:numId w:val="4"/>
        </w:numPr>
        <w:pBdr>
          <w:top w:val="nil"/>
          <w:left w:val="nil"/>
          <w:bottom w:val="nil"/>
          <w:right w:val="nil"/>
          <w:between w:val="nil"/>
        </w:pBdr>
      </w:pPr>
      <w:bookmarkStart w:id="72" w:name="_heading=h.gbfq7kukp279" w:colFirst="0" w:colLast="0"/>
      <w:bookmarkEnd w:id="72"/>
      <w:r>
        <w:rPr>
          <w:sz w:val="24"/>
          <w:szCs w:val="24"/>
        </w:rPr>
        <w:t>It is expected that the Supplier will provide the Authority with access to the underlying components of the critical evidence review, including an Excel spreadsheet of accessed literature and the search, quality and inclusion criteria used. This will remain the intellectual property of the Authority.</w:t>
      </w:r>
    </w:p>
    <w:p w14:paraId="5B9A8E06" w14:textId="77777777" w:rsidR="003B0E73" w:rsidRDefault="00017256">
      <w:pPr>
        <w:pStyle w:val="Heading3"/>
        <w:numPr>
          <w:ilvl w:val="0"/>
          <w:numId w:val="9"/>
        </w:numPr>
        <w:rPr>
          <w:b/>
          <w:sz w:val="28"/>
          <w:szCs w:val="28"/>
        </w:rPr>
      </w:pPr>
      <w:bookmarkStart w:id="73" w:name="_heading=h.opfnvkcga1i6" w:colFirst="0" w:colLast="0"/>
      <w:bookmarkEnd w:id="73"/>
      <w:r>
        <w:rPr>
          <w:b/>
          <w:sz w:val="28"/>
          <w:szCs w:val="28"/>
        </w:rPr>
        <w:t>Interim Findings</w:t>
      </w:r>
    </w:p>
    <w:p w14:paraId="53476A8C" w14:textId="77777777" w:rsidR="003B0E73" w:rsidRDefault="00017256">
      <w:pPr>
        <w:pStyle w:val="Heading2"/>
        <w:numPr>
          <w:ilvl w:val="1"/>
          <w:numId w:val="4"/>
        </w:numPr>
        <w:pBdr>
          <w:top w:val="nil"/>
          <w:left w:val="nil"/>
          <w:bottom w:val="nil"/>
          <w:right w:val="nil"/>
          <w:between w:val="nil"/>
        </w:pBdr>
      </w:pPr>
      <w:bookmarkStart w:id="74" w:name="_heading=h.mbmnvcpkiq1j" w:colFirst="0" w:colLast="0"/>
      <w:bookmarkEnd w:id="74"/>
      <w:r>
        <w:rPr>
          <w:sz w:val="24"/>
          <w:szCs w:val="24"/>
        </w:rPr>
        <w:t xml:space="preserve">Interim findings should be provided to the Authority by the deadlines outlined in “7. Key Milestones and Deliverables”. These findings shall be used for internal purposes only at this </w:t>
      </w:r>
      <w:proofErr w:type="gramStart"/>
      <w:r>
        <w:rPr>
          <w:sz w:val="24"/>
          <w:szCs w:val="24"/>
        </w:rPr>
        <w:t>stage,</w:t>
      </w:r>
      <w:proofErr w:type="gramEnd"/>
      <w:r>
        <w:rPr>
          <w:sz w:val="24"/>
          <w:szCs w:val="24"/>
        </w:rPr>
        <w:t xml:space="preserve"> therefore outputs do not need to be fully complete. </w:t>
      </w:r>
      <w:r>
        <w:rPr>
          <w:sz w:val="24"/>
          <w:szCs w:val="24"/>
        </w:rPr>
        <w:lastRenderedPageBreak/>
        <w:t>However, they should be fully quality-assured in line with the Aqua Book</w:t>
      </w:r>
      <w:r>
        <w:rPr>
          <w:sz w:val="24"/>
          <w:szCs w:val="24"/>
          <w:vertAlign w:val="superscript"/>
        </w:rPr>
        <w:footnoteReference w:id="15"/>
      </w:r>
      <w:r>
        <w:rPr>
          <w:sz w:val="24"/>
          <w:szCs w:val="24"/>
        </w:rPr>
        <w:t xml:space="preserve"> and presented in a clear and accessible manner so that they can be shared with internal colleagues and stakeholders where necessary.</w:t>
      </w:r>
    </w:p>
    <w:p w14:paraId="75CF6C0D" w14:textId="77777777" w:rsidR="003B0E73" w:rsidRDefault="00017256">
      <w:pPr>
        <w:pStyle w:val="Heading2"/>
        <w:numPr>
          <w:ilvl w:val="1"/>
          <w:numId w:val="4"/>
        </w:numPr>
        <w:pBdr>
          <w:top w:val="nil"/>
          <w:left w:val="nil"/>
          <w:bottom w:val="nil"/>
          <w:right w:val="nil"/>
          <w:between w:val="nil"/>
        </w:pBdr>
      </w:pPr>
      <w:bookmarkStart w:id="75" w:name="_heading=h.4k2fa54ha1rv" w:colFirst="0" w:colLast="0"/>
      <w:bookmarkEnd w:id="75"/>
      <w:r>
        <w:rPr>
          <w:sz w:val="24"/>
          <w:szCs w:val="24"/>
        </w:rPr>
        <w:t>Interim findings should contain initial results from both the decomposition analysis and the critical evidence review.</w:t>
      </w:r>
    </w:p>
    <w:p w14:paraId="31711DD8" w14:textId="77777777" w:rsidR="003B0E73" w:rsidRDefault="00017256">
      <w:pPr>
        <w:pStyle w:val="Heading2"/>
        <w:numPr>
          <w:ilvl w:val="1"/>
          <w:numId w:val="4"/>
        </w:numPr>
        <w:pBdr>
          <w:top w:val="nil"/>
          <w:left w:val="nil"/>
          <w:bottom w:val="nil"/>
          <w:right w:val="nil"/>
          <w:between w:val="nil"/>
        </w:pBdr>
      </w:pPr>
      <w:bookmarkStart w:id="76" w:name="_heading=h.z400528yje8b" w:colFirst="0" w:colLast="0"/>
      <w:bookmarkEnd w:id="76"/>
      <w:r>
        <w:rPr>
          <w:sz w:val="24"/>
          <w:szCs w:val="24"/>
        </w:rPr>
        <w:t>It is anticipated that the Supplier will hold an informal discussion or presentation of the interim findings with the Authority to aid understanding, communicate early findings and their implications. The supplier should be prepared to discuss comparability with previous analyses and take guidance from the Authority at this stage.</w:t>
      </w:r>
    </w:p>
    <w:p w14:paraId="5B92A954" w14:textId="77777777" w:rsidR="003B0E73" w:rsidRDefault="00017256">
      <w:pPr>
        <w:pStyle w:val="Heading3"/>
        <w:numPr>
          <w:ilvl w:val="0"/>
          <w:numId w:val="9"/>
        </w:numPr>
        <w:rPr>
          <w:b/>
          <w:sz w:val="28"/>
          <w:szCs w:val="28"/>
        </w:rPr>
      </w:pPr>
      <w:bookmarkStart w:id="77" w:name="_heading=h.qelen5pyyivq" w:colFirst="0" w:colLast="0"/>
      <w:bookmarkEnd w:id="77"/>
      <w:r>
        <w:rPr>
          <w:b/>
          <w:sz w:val="28"/>
          <w:szCs w:val="28"/>
        </w:rPr>
        <w:t>Interim Training Package</w:t>
      </w:r>
    </w:p>
    <w:p w14:paraId="2476EEC2" w14:textId="77777777" w:rsidR="003B0E73" w:rsidRDefault="00017256">
      <w:pPr>
        <w:pStyle w:val="Heading2"/>
        <w:numPr>
          <w:ilvl w:val="1"/>
          <w:numId w:val="4"/>
        </w:numPr>
        <w:pBdr>
          <w:top w:val="nil"/>
          <w:left w:val="nil"/>
          <w:bottom w:val="nil"/>
          <w:right w:val="nil"/>
          <w:between w:val="nil"/>
        </w:pBdr>
      </w:pPr>
      <w:bookmarkStart w:id="78" w:name="_heading=h.6irpcbgf34aq" w:colFirst="0" w:colLast="0"/>
      <w:bookmarkEnd w:id="78"/>
      <w:r>
        <w:rPr>
          <w:sz w:val="24"/>
          <w:szCs w:val="24"/>
        </w:rPr>
        <w:t>An interim training package should be delivered to the Authority by the deadlines outlined in “7. Key Milestones and Deliverables”. This will be used to update the Authority on progress and ensure the final training package will meet the needs of the Authority. The interim training package does not need to be fully complete but should:</w:t>
      </w:r>
    </w:p>
    <w:p w14:paraId="01B249E5" w14:textId="77777777" w:rsidR="003B0E73" w:rsidRDefault="00017256">
      <w:pPr>
        <w:pStyle w:val="Heading2"/>
        <w:numPr>
          <w:ilvl w:val="0"/>
          <w:numId w:val="6"/>
        </w:numPr>
        <w:ind w:left="1410" w:hanging="270"/>
        <w:rPr>
          <w:sz w:val="24"/>
          <w:szCs w:val="24"/>
        </w:rPr>
      </w:pPr>
      <w:bookmarkStart w:id="79" w:name="_heading=h.py9ro9vp51y3" w:colFirst="0" w:colLast="0"/>
      <w:bookmarkEnd w:id="79"/>
      <w:r>
        <w:rPr>
          <w:sz w:val="24"/>
          <w:szCs w:val="24"/>
        </w:rPr>
        <w:t xml:space="preserve">Contain draft versions of all three elements required in the final training package: 1) a methodology document, 2) code for carrying out the analysis, and 3) a training presentation. See </w:t>
      </w:r>
      <w:r>
        <w:rPr>
          <w:b/>
          <w:sz w:val="24"/>
          <w:szCs w:val="24"/>
        </w:rPr>
        <w:t>F. Final training package</w:t>
      </w:r>
      <w:r>
        <w:rPr>
          <w:sz w:val="24"/>
          <w:szCs w:val="24"/>
        </w:rPr>
        <w:t xml:space="preserve"> below for more details of these elements.</w:t>
      </w:r>
    </w:p>
    <w:p w14:paraId="2FC97942" w14:textId="77777777" w:rsidR="003B0E73" w:rsidRDefault="00017256">
      <w:pPr>
        <w:pStyle w:val="Heading2"/>
        <w:numPr>
          <w:ilvl w:val="0"/>
          <w:numId w:val="6"/>
        </w:numPr>
        <w:ind w:left="1417" w:hanging="270"/>
        <w:rPr>
          <w:sz w:val="24"/>
          <w:szCs w:val="24"/>
        </w:rPr>
      </w:pPr>
      <w:bookmarkStart w:id="80" w:name="_heading=h.8wh4mv8rx7yz" w:colFirst="0" w:colLast="0"/>
      <w:bookmarkEnd w:id="80"/>
      <w:r>
        <w:rPr>
          <w:sz w:val="24"/>
          <w:szCs w:val="24"/>
        </w:rPr>
        <w:t>Be sufficiently developed to allow all three elements to be properly assessed against the Authority’s needs.</w:t>
      </w:r>
    </w:p>
    <w:p w14:paraId="5F3DB31E" w14:textId="77777777" w:rsidR="003B0E73" w:rsidRDefault="00017256">
      <w:pPr>
        <w:pStyle w:val="Heading2"/>
        <w:numPr>
          <w:ilvl w:val="0"/>
          <w:numId w:val="6"/>
        </w:numPr>
        <w:ind w:left="1417" w:hanging="270"/>
        <w:rPr>
          <w:sz w:val="24"/>
          <w:szCs w:val="24"/>
        </w:rPr>
      </w:pPr>
      <w:bookmarkStart w:id="81" w:name="_heading=h.v9wor0o9gb7o" w:colFirst="0" w:colLast="0"/>
      <w:bookmarkEnd w:id="81"/>
      <w:r>
        <w:rPr>
          <w:sz w:val="24"/>
          <w:szCs w:val="24"/>
        </w:rPr>
        <w:t>Be presented in a clear and accessible manner.</w:t>
      </w:r>
    </w:p>
    <w:p w14:paraId="5D0D6415" w14:textId="77777777" w:rsidR="003B0E73" w:rsidRDefault="00017256">
      <w:pPr>
        <w:pStyle w:val="Heading2"/>
        <w:numPr>
          <w:ilvl w:val="0"/>
          <w:numId w:val="6"/>
        </w:numPr>
        <w:ind w:left="1417" w:hanging="270"/>
        <w:rPr>
          <w:sz w:val="24"/>
          <w:szCs w:val="24"/>
        </w:rPr>
      </w:pPr>
      <w:bookmarkStart w:id="82" w:name="_heading=h.71ks0lilgg7v" w:colFirst="0" w:colLast="0"/>
      <w:bookmarkEnd w:id="82"/>
      <w:r>
        <w:rPr>
          <w:sz w:val="24"/>
          <w:szCs w:val="24"/>
        </w:rPr>
        <w:t>Include a clear plan and timeline for delivering the final training package.</w:t>
      </w:r>
    </w:p>
    <w:p w14:paraId="65C55FD4" w14:textId="77777777" w:rsidR="003B0E73" w:rsidRDefault="00017256">
      <w:pPr>
        <w:pStyle w:val="Heading2"/>
        <w:numPr>
          <w:ilvl w:val="1"/>
          <w:numId w:val="4"/>
        </w:numPr>
        <w:pBdr>
          <w:top w:val="nil"/>
          <w:left w:val="nil"/>
          <w:bottom w:val="nil"/>
          <w:right w:val="nil"/>
          <w:between w:val="nil"/>
        </w:pBdr>
      </w:pPr>
      <w:bookmarkStart w:id="83" w:name="_heading=h.7tlqv7b18zrh" w:colFirst="0" w:colLast="0"/>
      <w:bookmarkEnd w:id="83"/>
      <w:r>
        <w:rPr>
          <w:sz w:val="24"/>
          <w:szCs w:val="24"/>
        </w:rPr>
        <w:t>It is anticipated that the Supplier will hold an informal discussion or presentation with the Authority on the interim training package to aid understanding, and clarify the scope and focus.</w:t>
      </w:r>
    </w:p>
    <w:p w14:paraId="5FFA3EED" w14:textId="77777777" w:rsidR="003B0E73" w:rsidRDefault="00017256">
      <w:pPr>
        <w:pStyle w:val="Heading2"/>
        <w:numPr>
          <w:ilvl w:val="1"/>
          <w:numId w:val="4"/>
        </w:numPr>
        <w:pBdr>
          <w:top w:val="nil"/>
          <w:left w:val="nil"/>
          <w:bottom w:val="nil"/>
          <w:right w:val="nil"/>
          <w:between w:val="nil"/>
        </w:pBdr>
      </w:pPr>
      <w:bookmarkStart w:id="84" w:name="_heading=h.skz5srbzmmss" w:colFirst="0" w:colLast="0"/>
      <w:bookmarkEnd w:id="84"/>
      <w:r>
        <w:rPr>
          <w:sz w:val="24"/>
          <w:szCs w:val="24"/>
        </w:rPr>
        <w:t xml:space="preserve">The Authority requires the supplier to clearly communicate any operating system, software, packages or other stipulations which are needed for the successful delivery of </w:t>
      </w:r>
      <w:r>
        <w:rPr>
          <w:b/>
          <w:sz w:val="24"/>
          <w:szCs w:val="24"/>
        </w:rPr>
        <w:t>D. Interim training package</w:t>
      </w:r>
      <w:r>
        <w:rPr>
          <w:sz w:val="24"/>
          <w:szCs w:val="24"/>
        </w:rPr>
        <w:t xml:space="preserve"> as part of </w:t>
      </w:r>
      <w:r>
        <w:rPr>
          <w:b/>
          <w:sz w:val="24"/>
          <w:szCs w:val="24"/>
        </w:rPr>
        <w:t>A. Inception meeting</w:t>
      </w:r>
      <w:r>
        <w:rPr>
          <w:sz w:val="24"/>
          <w:szCs w:val="24"/>
        </w:rPr>
        <w:t>. This is to allow Authority analysts sufficient time to obtain these requirements.</w:t>
      </w:r>
    </w:p>
    <w:p w14:paraId="1E4CEE0E" w14:textId="77777777" w:rsidR="003B0E73" w:rsidRDefault="00017256">
      <w:pPr>
        <w:pStyle w:val="Heading2"/>
        <w:numPr>
          <w:ilvl w:val="1"/>
          <w:numId w:val="4"/>
        </w:numPr>
        <w:pBdr>
          <w:top w:val="nil"/>
          <w:left w:val="nil"/>
          <w:bottom w:val="nil"/>
          <w:right w:val="nil"/>
          <w:between w:val="nil"/>
        </w:pBdr>
      </w:pPr>
      <w:bookmarkStart w:id="85" w:name="_heading=h.fpvf65eie75g" w:colFirst="0" w:colLast="0"/>
      <w:bookmarkEnd w:id="85"/>
      <w:r>
        <w:rPr>
          <w:sz w:val="24"/>
          <w:szCs w:val="24"/>
        </w:rPr>
        <w:lastRenderedPageBreak/>
        <w:t>It is expected the Supplier will modify the final training package based on feedback from the Authority on the interim training package.</w:t>
      </w:r>
    </w:p>
    <w:p w14:paraId="08554E67" w14:textId="77777777" w:rsidR="003B0E73" w:rsidRDefault="00017256">
      <w:pPr>
        <w:pStyle w:val="Heading2"/>
        <w:numPr>
          <w:ilvl w:val="0"/>
          <w:numId w:val="9"/>
        </w:numPr>
        <w:rPr>
          <w:b/>
          <w:sz w:val="28"/>
          <w:szCs w:val="28"/>
        </w:rPr>
      </w:pPr>
      <w:bookmarkStart w:id="86" w:name="_heading=h.c1jag88gtq8q" w:colFirst="0" w:colLast="0"/>
      <w:bookmarkEnd w:id="86"/>
      <w:r>
        <w:rPr>
          <w:b/>
          <w:sz w:val="28"/>
          <w:szCs w:val="28"/>
        </w:rPr>
        <w:t>Final Report</w:t>
      </w:r>
    </w:p>
    <w:p w14:paraId="4BAD8B8D" w14:textId="77777777" w:rsidR="003B0E73" w:rsidRDefault="00017256">
      <w:pPr>
        <w:pStyle w:val="Heading2"/>
        <w:numPr>
          <w:ilvl w:val="1"/>
          <w:numId w:val="4"/>
        </w:numPr>
      </w:pPr>
      <w:r>
        <w:rPr>
          <w:sz w:val="24"/>
          <w:szCs w:val="24"/>
        </w:rPr>
        <w:t>The Supplier is required to produce a final report which should be signed off by the Authority by the deadlines outlined in “7. Key Milestones and Deliverables”. The Supplier should consider a realistic timeline to allow time for review and comment from the Authority and relevant stakeholders prior to this deadline. The report will incorporate the findings of the decomposition analysis and multi-disciplinary literature review to inform the final conclusions and actionable insights.</w:t>
      </w:r>
    </w:p>
    <w:p w14:paraId="5BCF7AA9" w14:textId="77777777" w:rsidR="003B0E73" w:rsidRDefault="00017256">
      <w:pPr>
        <w:pStyle w:val="Heading2"/>
        <w:numPr>
          <w:ilvl w:val="1"/>
          <w:numId w:val="4"/>
        </w:numPr>
      </w:pPr>
      <w:r>
        <w:rPr>
          <w:sz w:val="24"/>
          <w:szCs w:val="24"/>
        </w:rPr>
        <w:t>The final report should be focused in terms of length (30-35 pages excluding annexes) and include an executive summary and actionable insights. Provision of alternative versions including easy read, large print and BSL should also be considered. The Authority is open to the Supplier suggesting alternative ways of presenting the findings.</w:t>
      </w:r>
    </w:p>
    <w:p w14:paraId="41A18873" w14:textId="77777777" w:rsidR="003B0E73" w:rsidRDefault="00017256">
      <w:pPr>
        <w:pStyle w:val="Heading2"/>
        <w:numPr>
          <w:ilvl w:val="1"/>
          <w:numId w:val="4"/>
        </w:numPr>
        <w:pBdr>
          <w:top w:val="nil"/>
          <w:left w:val="nil"/>
          <w:bottom w:val="nil"/>
          <w:right w:val="nil"/>
          <w:between w:val="nil"/>
        </w:pBdr>
      </w:pPr>
      <w:r>
        <w:rPr>
          <w:sz w:val="24"/>
          <w:szCs w:val="24"/>
        </w:rPr>
        <w:t>The Supplier is required to generate a chart or infographic to effectively illustrate the key findings of the work to a lay audience. In Olsen et al. 2018</w:t>
      </w:r>
      <w:r>
        <w:rPr>
          <w:sz w:val="24"/>
          <w:szCs w:val="24"/>
          <w:vertAlign w:val="superscript"/>
        </w:rPr>
        <w:footnoteReference w:id="16"/>
      </w:r>
      <w:r>
        <w:rPr>
          <w:sz w:val="24"/>
          <w:szCs w:val="24"/>
        </w:rPr>
        <w:t>,  Figure 1 is an incredibly impactful tool for communicating about the GPG and the Authority requires a data visualisation with the same power for this analysis. The Authority is open to the Supplier suggesting alternative and innovative ways to visualise the key findings.</w:t>
      </w:r>
    </w:p>
    <w:p w14:paraId="6CFC828F" w14:textId="77777777" w:rsidR="003B0E73" w:rsidRDefault="00017256">
      <w:pPr>
        <w:pStyle w:val="Heading2"/>
        <w:numPr>
          <w:ilvl w:val="1"/>
          <w:numId w:val="4"/>
        </w:numPr>
      </w:pPr>
      <w:r>
        <w:rPr>
          <w:sz w:val="24"/>
          <w:szCs w:val="24"/>
        </w:rPr>
        <w:t>The final report (including annexes) should be accessible to a range of audiences. This should include using plain English and avoiding technical jargon where possible.</w:t>
      </w:r>
    </w:p>
    <w:p w14:paraId="2E299F89" w14:textId="77777777" w:rsidR="003B0E73" w:rsidRDefault="00017256">
      <w:pPr>
        <w:pStyle w:val="Heading2"/>
        <w:numPr>
          <w:ilvl w:val="1"/>
          <w:numId w:val="4"/>
        </w:numPr>
      </w:pPr>
      <w:r>
        <w:rPr>
          <w:sz w:val="24"/>
          <w:szCs w:val="24"/>
        </w:rPr>
        <w:t>The final report will need to incorporate some aspects of the Authority’s style guides. This includes, but is not limited to, accessibility guidance</w:t>
      </w:r>
      <w:r>
        <w:rPr>
          <w:sz w:val="24"/>
          <w:szCs w:val="24"/>
          <w:vertAlign w:val="superscript"/>
        </w:rPr>
        <w:footnoteReference w:id="17"/>
      </w:r>
      <w:r>
        <w:rPr>
          <w:sz w:val="24"/>
          <w:szCs w:val="24"/>
        </w:rPr>
        <w:t>.</w:t>
      </w:r>
    </w:p>
    <w:p w14:paraId="0DDA20B7" w14:textId="77777777" w:rsidR="003B0E73" w:rsidRDefault="00017256">
      <w:pPr>
        <w:pStyle w:val="Heading2"/>
        <w:numPr>
          <w:ilvl w:val="1"/>
          <w:numId w:val="4"/>
        </w:numPr>
        <w:pBdr>
          <w:top w:val="nil"/>
          <w:left w:val="nil"/>
          <w:bottom w:val="nil"/>
          <w:right w:val="nil"/>
          <w:between w:val="nil"/>
        </w:pBdr>
      </w:pPr>
      <w:r>
        <w:rPr>
          <w:sz w:val="24"/>
          <w:szCs w:val="24"/>
        </w:rPr>
        <w:t>The Supplier is required to ensure that all data, analysis, the final report and annexes have been quality assured in line with the Aqua Book</w:t>
      </w:r>
      <w:r>
        <w:rPr>
          <w:sz w:val="24"/>
          <w:szCs w:val="24"/>
          <w:vertAlign w:val="superscript"/>
        </w:rPr>
        <w:footnoteReference w:id="18"/>
      </w:r>
      <w:r>
        <w:rPr>
          <w:sz w:val="24"/>
          <w:szCs w:val="24"/>
        </w:rPr>
        <w:t>. This is essential for providing the Authority with reasonable assurance of the quality of the work.</w:t>
      </w:r>
    </w:p>
    <w:p w14:paraId="0425CD13" w14:textId="77777777" w:rsidR="003B0E73" w:rsidRDefault="00017256">
      <w:pPr>
        <w:pStyle w:val="Heading2"/>
        <w:numPr>
          <w:ilvl w:val="1"/>
          <w:numId w:val="4"/>
        </w:numPr>
        <w:pBdr>
          <w:top w:val="nil"/>
          <w:left w:val="nil"/>
          <w:bottom w:val="nil"/>
          <w:right w:val="nil"/>
          <w:between w:val="nil"/>
        </w:pBdr>
      </w:pPr>
      <w:r>
        <w:rPr>
          <w:sz w:val="24"/>
          <w:szCs w:val="24"/>
        </w:rPr>
        <w:lastRenderedPageBreak/>
        <w:t>The Authority requires the Supplier to provide the processed dataset used for the decomposition analysis to enable Authority analysts to carry out quality assurance. This dataset will remain the intellectual property of the Authority.</w:t>
      </w:r>
    </w:p>
    <w:p w14:paraId="3938F50B" w14:textId="77777777" w:rsidR="003B0E73" w:rsidRDefault="00017256">
      <w:pPr>
        <w:pStyle w:val="Heading2"/>
        <w:numPr>
          <w:ilvl w:val="1"/>
          <w:numId w:val="4"/>
        </w:numPr>
        <w:pBdr>
          <w:top w:val="nil"/>
          <w:left w:val="nil"/>
          <w:bottom w:val="nil"/>
          <w:right w:val="nil"/>
          <w:between w:val="nil"/>
        </w:pBdr>
      </w:pPr>
      <w:r>
        <w:rPr>
          <w:sz w:val="24"/>
          <w:szCs w:val="24"/>
        </w:rPr>
        <w:t>The Authority requires the final report to include a section discussing how the analysis differs from previous analyses</w:t>
      </w:r>
      <w:r>
        <w:rPr>
          <w:sz w:val="24"/>
          <w:szCs w:val="24"/>
          <w:vertAlign w:val="superscript"/>
        </w:rPr>
        <w:footnoteReference w:id="19"/>
      </w:r>
      <w:r>
        <w:rPr>
          <w:sz w:val="24"/>
          <w:szCs w:val="24"/>
          <w:vertAlign w:val="superscript"/>
        </w:rPr>
        <w:t>,</w:t>
      </w:r>
      <w:r>
        <w:rPr>
          <w:sz w:val="24"/>
          <w:szCs w:val="24"/>
        </w:rPr>
        <w:t xml:space="preserve"> </w:t>
      </w:r>
      <w:r>
        <w:rPr>
          <w:sz w:val="24"/>
          <w:szCs w:val="24"/>
          <w:vertAlign w:val="superscript"/>
        </w:rPr>
        <w:footnoteReference w:id="20"/>
      </w:r>
      <w:r>
        <w:rPr>
          <w:sz w:val="24"/>
          <w:szCs w:val="24"/>
        </w:rPr>
        <w:t>. This includes, but is not limited to, changes in the dataset, data or variables being unavailable, changes in data collection methods, and changes in analytical approach. The supplier is required to outline the reasons for these differences and caveats for interpreting the results and making comparisons with previous analyses in full.</w:t>
      </w:r>
    </w:p>
    <w:p w14:paraId="591D881A" w14:textId="77777777" w:rsidR="003B0E73" w:rsidRDefault="00017256">
      <w:pPr>
        <w:pStyle w:val="Heading2"/>
        <w:numPr>
          <w:ilvl w:val="1"/>
          <w:numId w:val="4"/>
        </w:numPr>
      </w:pPr>
      <w:bookmarkStart w:id="87" w:name="_heading=h.cb1elintr7wv" w:colFirst="0" w:colLast="0"/>
      <w:bookmarkEnd w:id="87"/>
      <w:r>
        <w:rPr>
          <w:sz w:val="24"/>
          <w:szCs w:val="24"/>
        </w:rPr>
        <w:t>The final report should include a discussion of how the proposed analysis contrasts with similar analysis on the GPG, for example by the Office for National Statistics, the Fawcett Society, and previous analysis by the Authority</w:t>
      </w:r>
      <w:r>
        <w:rPr>
          <w:sz w:val="24"/>
          <w:szCs w:val="24"/>
          <w:vertAlign w:val="superscript"/>
        </w:rPr>
        <w:footnoteReference w:id="21"/>
      </w:r>
      <w:r>
        <w:rPr>
          <w:sz w:val="24"/>
          <w:szCs w:val="24"/>
          <w:vertAlign w:val="superscript"/>
        </w:rPr>
        <w:t>,</w:t>
      </w:r>
      <w:r>
        <w:rPr>
          <w:sz w:val="24"/>
          <w:szCs w:val="24"/>
          <w:vertAlign w:val="superscript"/>
        </w:rPr>
        <w:footnoteReference w:id="22"/>
      </w:r>
      <w:r>
        <w:rPr>
          <w:sz w:val="24"/>
          <w:szCs w:val="24"/>
        </w:rPr>
        <w:t>. This discussion should include any caveats and risks when comparing and contrasting results.</w:t>
      </w:r>
    </w:p>
    <w:p w14:paraId="5CFB36DE" w14:textId="77777777" w:rsidR="003B0E73" w:rsidRDefault="00017256">
      <w:pPr>
        <w:pStyle w:val="Heading2"/>
        <w:numPr>
          <w:ilvl w:val="1"/>
          <w:numId w:val="4"/>
        </w:numPr>
        <w:pBdr>
          <w:top w:val="nil"/>
          <w:left w:val="nil"/>
          <w:bottom w:val="nil"/>
          <w:right w:val="nil"/>
          <w:between w:val="nil"/>
        </w:pBdr>
      </w:pPr>
      <w:r>
        <w:rPr>
          <w:sz w:val="24"/>
          <w:szCs w:val="24"/>
        </w:rPr>
        <w:t>The Authority requires that drafts of the final report should be fully proofread and signed-off by the Supplier to enable complete and efficient review and sign-off from the Authority.</w:t>
      </w:r>
    </w:p>
    <w:p w14:paraId="2C74D24B" w14:textId="77777777" w:rsidR="003B0E73" w:rsidRDefault="00017256">
      <w:pPr>
        <w:pStyle w:val="Heading2"/>
        <w:numPr>
          <w:ilvl w:val="1"/>
          <w:numId w:val="4"/>
        </w:numPr>
        <w:pBdr>
          <w:top w:val="nil"/>
          <w:left w:val="nil"/>
          <w:bottom w:val="nil"/>
          <w:right w:val="nil"/>
          <w:between w:val="nil"/>
        </w:pBdr>
      </w:pPr>
      <w:r>
        <w:rPr>
          <w:sz w:val="24"/>
          <w:szCs w:val="24"/>
        </w:rPr>
        <w:t>To ensure research outputs meet the expectations and requirements of the Authority, drafts should be shared with the Department as early as is practicable. The Authority reserves the right to request iterations of the output or tool until they meet the agreed upon standard. Comments on draft outputs or research tools should be given and dealt with in a timely manner, to be agreed upon between the Supplier and the Authority.</w:t>
      </w:r>
    </w:p>
    <w:p w14:paraId="18B45373" w14:textId="77777777" w:rsidR="003B0E73" w:rsidRDefault="00017256">
      <w:pPr>
        <w:pStyle w:val="Heading2"/>
        <w:numPr>
          <w:ilvl w:val="1"/>
          <w:numId w:val="4"/>
        </w:numPr>
        <w:pBdr>
          <w:top w:val="nil"/>
          <w:left w:val="nil"/>
          <w:bottom w:val="nil"/>
          <w:right w:val="nil"/>
          <w:between w:val="nil"/>
        </w:pBdr>
      </w:pPr>
      <w:r>
        <w:rPr>
          <w:sz w:val="24"/>
          <w:szCs w:val="24"/>
        </w:rPr>
        <w:t>Final reports must be submitted to the Authority in advance of publication. The final publication dates will be agreed between the Authority and the Supplier in due course.</w:t>
      </w:r>
    </w:p>
    <w:p w14:paraId="58F23233" w14:textId="77777777" w:rsidR="003B0E73" w:rsidRDefault="00017256">
      <w:pPr>
        <w:pStyle w:val="Heading2"/>
        <w:numPr>
          <w:ilvl w:val="1"/>
          <w:numId w:val="4"/>
        </w:numPr>
      </w:pPr>
      <w:r>
        <w:rPr>
          <w:sz w:val="24"/>
          <w:szCs w:val="24"/>
        </w:rPr>
        <w:t>The Supplier is required to work closely with the Authority upon publication and ensure all communications are coordinated. Any communication materials to be used by the Supplier should be submitted to the Authority for sign-off or agreement before use.</w:t>
      </w:r>
    </w:p>
    <w:p w14:paraId="5E7CBD0C" w14:textId="77777777" w:rsidR="003B0E73" w:rsidRDefault="00017256">
      <w:pPr>
        <w:pStyle w:val="Heading2"/>
        <w:numPr>
          <w:ilvl w:val="1"/>
          <w:numId w:val="4"/>
        </w:numPr>
      </w:pPr>
      <w:bookmarkStart w:id="88" w:name="_heading=h.serohg1ykx5c" w:colFirst="0" w:colLast="0"/>
      <w:bookmarkEnd w:id="88"/>
      <w:r>
        <w:rPr>
          <w:sz w:val="24"/>
          <w:szCs w:val="24"/>
        </w:rPr>
        <w:lastRenderedPageBreak/>
        <w:t>It is anticipated that the Supplier will give a presentation to communicate key findings and recommendations from the final report to the Authority and allow for questions and discussion.</w:t>
      </w:r>
    </w:p>
    <w:p w14:paraId="726D4C20" w14:textId="77777777" w:rsidR="003B0E73" w:rsidRDefault="00017256">
      <w:pPr>
        <w:pStyle w:val="Heading2"/>
        <w:numPr>
          <w:ilvl w:val="1"/>
          <w:numId w:val="4"/>
        </w:numPr>
      </w:pPr>
      <w:bookmarkStart w:id="89" w:name="_heading=h.ywoq0osx9juf" w:colFirst="0" w:colLast="0"/>
      <w:bookmarkEnd w:id="89"/>
      <w:r>
        <w:rPr>
          <w:sz w:val="24"/>
          <w:szCs w:val="24"/>
        </w:rPr>
        <w:t>Any outputs from this work, including but not limited to: the literature review, the final report (including annexes), presentation slides and related outputs will remain the intellectual property of the Authority. Decisions regarding the timings and format of reports will be taken by the Authority.</w:t>
      </w:r>
    </w:p>
    <w:p w14:paraId="660E4E80" w14:textId="77777777" w:rsidR="003B0E73" w:rsidRDefault="00017256">
      <w:pPr>
        <w:pStyle w:val="Heading2"/>
        <w:numPr>
          <w:ilvl w:val="0"/>
          <w:numId w:val="9"/>
        </w:numPr>
        <w:rPr>
          <w:b/>
          <w:sz w:val="28"/>
          <w:szCs w:val="28"/>
        </w:rPr>
      </w:pPr>
      <w:bookmarkStart w:id="90" w:name="_heading=h.rvwrpn8x803p" w:colFirst="0" w:colLast="0"/>
      <w:bookmarkEnd w:id="90"/>
      <w:r>
        <w:rPr>
          <w:b/>
          <w:sz w:val="28"/>
          <w:szCs w:val="28"/>
        </w:rPr>
        <w:t>Final training package</w:t>
      </w:r>
    </w:p>
    <w:p w14:paraId="4DE66D79" w14:textId="77777777" w:rsidR="003B0E73" w:rsidRDefault="00017256">
      <w:pPr>
        <w:pStyle w:val="Heading2"/>
        <w:numPr>
          <w:ilvl w:val="1"/>
          <w:numId w:val="4"/>
        </w:numPr>
        <w:pBdr>
          <w:top w:val="nil"/>
          <w:left w:val="nil"/>
          <w:bottom w:val="nil"/>
          <w:right w:val="nil"/>
          <w:between w:val="nil"/>
        </w:pBdr>
      </w:pPr>
      <w:bookmarkStart w:id="91" w:name="_heading=h.2shm2m93y76z" w:colFirst="0" w:colLast="0"/>
      <w:bookmarkEnd w:id="91"/>
      <w:r>
        <w:rPr>
          <w:sz w:val="24"/>
          <w:szCs w:val="24"/>
        </w:rPr>
        <w:t>The Supplier is required to produce a training package to address:</w:t>
      </w:r>
    </w:p>
    <w:p w14:paraId="1C02A728" w14:textId="77777777" w:rsidR="003B0E73" w:rsidRDefault="00017256">
      <w:pPr>
        <w:pStyle w:val="Heading2"/>
        <w:numPr>
          <w:ilvl w:val="1"/>
          <w:numId w:val="5"/>
        </w:numPr>
        <w:rPr>
          <w:sz w:val="24"/>
          <w:szCs w:val="24"/>
        </w:rPr>
      </w:pPr>
      <w:bookmarkStart w:id="92" w:name="_heading=h.8zhbfaebnsm6" w:colFirst="0" w:colLast="0"/>
      <w:bookmarkEnd w:id="92"/>
      <w:r>
        <w:rPr>
          <w:b/>
          <w:sz w:val="24"/>
          <w:szCs w:val="24"/>
        </w:rPr>
        <w:t>Objective 3: Upskill analysts at the Authority to allow them to independently carry out and interpret decomposition analysis on other equalities issues, such as ethnicity and disability pay gaps</w:t>
      </w:r>
      <w:r>
        <w:rPr>
          <w:sz w:val="24"/>
          <w:szCs w:val="24"/>
        </w:rPr>
        <w:t>.</w:t>
      </w:r>
    </w:p>
    <w:p w14:paraId="2CD36819" w14:textId="77777777" w:rsidR="003B0E73" w:rsidRDefault="00017256">
      <w:pPr>
        <w:pStyle w:val="Heading2"/>
        <w:numPr>
          <w:ilvl w:val="1"/>
          <w:numId w:val="4"/>
        </w:numPr>
      </w:pPr>
      <w:bookmarkStart w:id="93" w:name="_heading=h.tvkk36uq172v" w:colFirst="0" w:colLast="0"/>
      <w:bookmarkEnd w:id="93"/>
      <w:r>
        <w:rPr>
          <w:sz w:val="24"/>
          <w:szCs w:val="24"/>
        </w:rPr>
        <w:t>The purpose of this training package is to enable analysts at the Authority to independently carry out decomposition analysis in future. The final training package should be delivered by the deadlines outlined in “7. Key Milestones and Deliverables”.</w:t>
      </w:r>
    </w:p>
    <w:p w14:paraId="454D5442" w14:textId="77777777" w:rsidR="003B0E73" w:rsidRDefault="00017256">
      <w:pPr>
        <w:pStyle w:val="Heading2"/>
        <w:numPr>
          <w:ilvl w:val="1"/>
          <w:numId w:val="4"/>
        </w:numPr>
        <w:pBdr>
          <w:top w:val="nil"/>
          <w:left w:val="nil"/>
          <w:bottom w:val="nil"/>
          <w:right w:val="nil"/>
          <w:between w:val="nil"/>
        </w:pBdr>
      </w:pPr>
      <w:bookmarkStart w:id="94" w:name="_heading=h.ciy42jcr9xln" w:colFirst="0" w:colLast="0"/>
      <w:bookmarkEnd w:id="94"/>
      <w:r>
        <w:rPr>
          <w:sz w:val="24"/>
          <w:szCs w:val="24"/>
        </w:rPr>
        <w:t>The training package is to include the following elements:</w:t>
      </w:r>
    </w:p>
    <w:p w14:paraId="42A64543" w14:textId="77777777" w:rsidR="003B0E73" w:rsidRDefault="00017256">
      <w:pPr>
        <w:pStyle w:val="Heading2"/>
        <w:numPr>
          <w:ilvl w:val="2"/>
          <w:numId w:val="4"/>
        </w:numPr>
        <w:pBdr>
          <w:top w:val="nil"/>
          <w:left w:val="nil"/>
          <w:bottom w:val="nil"/>
          <w:right w:val="nil"/>
          <w:between w:val="nil"/>
        </w:pBdr>
        <w:rPr>
          <w:sz w:val="24"/>
          <w:szCs w:val="24"/>
        </w:rPr>
      </w:pPr>
      <w:bookmarkStart w:id="95" w:name="_heading=h.9dl622v6rkf8" w:colFirst="0" w:colLast="0"/>
      <w:bookmarkEnd w:id="95"/>
      <w:r>
        <w:rPr>
          <w:sz w:val="24"/>
          <w:szCs w:val="24"/>
        </w:rPr>
        <w:t>A methodology document detailing everything required to carry out decomposition analysis, including:</w:t>
      </w:r>
    </w:p>
    <w:p w14:paraId="7FBBFAA5" w14:textId="77777777" w:rsidR="003B0E73" w:rsidRDefault="00017256">
      <w:pPr>
        <w:pStyle w:val="Heading2"/>
        <w:numPr>
          <w:ilvl w:val="0"/>
          <w:numId w:val="2"/>
        </w:numPr>
        <w:ind w:left="2267" w:hanging="283"/>
        <w:rPr>
          <w:sz w:val="24"/>
          <w:szCs w:val="24"/>
        </w:rPr>
      </w:pPr>
      <w:bookmarkStart w:id="96" w:name="_heading=h.fde8epbf8wzg" w:colFirst="0" w:colLast="0"/>
      <w:bookmarkEnd w:id="96"/>
      <w:r>
        <w:rPr>
          <w:sz w:val="24"/>
          <w:szCs w:val="24"/>
        </w:rPr>
        <w:t>The data sources and variables used in the analysis</w:t>
      </w:r>
    </w:p>
    <w:p w14:paraId="698B8DF1" w14:textId="77777777" w:rsidR="003B0E73" w:rsidRDefault="00017256">
      <w:pPr>
        <w:pStyle w:val="Heading2"/>
        <w:numPr>
          <w:ilvl w:val="0"/>
          <w:numId w:val="2"/>
        </w:numPr>
        <w:ind w:left="2267" w:hanging="283"/>
        <w:rPr>
          <w:sz w:val="24"/>
          <w:szCs w:val="24"/>
        </w:rPr>
      </w:pPr>
      <w:bookmarkStart w:id="97" w:name="_heading=h.29f3wlx7pfe4" w:colFirst="0" w:colLast="0"/>
      <w:bookmarkEnd w:id="97"/>
      <w:r>
        <w:rPr>
          <w:sz w:val="24"/>
          <w:szCs w:val="24"/>
        </w:rPr>
        <w:t>How the data was accessed</w:t>
      </w:r>
    </w:p>
    <w:p w14:paraId="29D13616" w14:textId="77777777" w:rsidR="003B0E73" w:rsidRDefault="00017256">
      <w:pPr>
        <w:pStyle w:val="Heading2"/>
        <w:numPr>
          <w:ilvl w:val="0"/>
          <w:numId w:val="2"/>
        </w:numPr>
        <w:ind w:left="2267" w:hanging="285"/>
        <w:rPr>
          <w:sz w:val="24"/>
          <w:szCs w:val="24"/>
        </w:rPr>
      </w:pPr>
      <w:bookmarkStart w:id="98" w:name="_heading=h.eep1khyceose" w:colFirst="0" w:colLast="0"/>
      <w:bookmarkEnd w:id="98"/>
      <w:r>
        <w:rPr>
          <w:sz w:val="24"/>
          <w:szCs w:val="24"/>
        </w:rPr>
        <w:t>Data cleaning</w:t>
      </w:r>
    </w:p>
    <w:p w14:paraId="5A14B42C" w14:textId="77777777" w:rsidR="003B0E73" w:rsidRDefault="00017256">
      <w:pPr>
        <w:pStyle w:val="Heading2"/>
        <w:numPr>
          <w:ilvl w:val="0"/>
          <w:numId w:val="2"/>
        </w:numPr>
        <w:ind w:left="2267" w:hanging="283"/>
        <w:rPr>
          <w:sz w:val="24"/>
          <w:szCs w:val="24"/>
        </w:rPr>
      </w:pPr>
      <w:bookmarkStart w:id="99" w:name="_heading=h.9k0nzx4wwvb1" w:colFirst="0" w:colLast="0"/>
      <w:bookmarkEnd w:id="99"/>
      <w:r>
        <w:rPr>
          <w:sz w:val="24"/>
          <w:szCs w:val="24"/>
        </w:rPr>
        <w:t>Data processing</w:t>
      </w:r>
    </w:p>
    <w:p w14:paraId="6750CF14" w14:textId="77777777" w:rsidR="003B0E73" w:rsidRDefault="00017256">
      <w:pPr>
        <w:pStyle w:val="Heading2"/>
        <w:numPr>
          <w:ilvl w:val="0"/>
          <w:numId w:val="2"/>
        </w:numPr>
        <w:ind w:left="2267" w:hanging="283"/>
        <w:rPr>
          <w:sz w:val="24"/>
          <w:szCs w:val="24"/>
        </w:rPr>
      </w:pPr>
      <w:bookmarkStart w:id="100" w:name="_heading=h.m04zv3uz5tyb" w:colFirst="0" w:colLast="0"/>
      <w:bookmarkEnd w:id="100"/>
      <w:r>
        <w:rPr>
          <w:sz w:val="24"/>
          <w:szCs w:val="24"/>
        </w:rPr>
        <w:t>What data checks to conduct to ensure data quality and how to carry out these checks</w:t>
      </w:r>
    </w:p>
    <w:p w14:paraId="22251CF7" w14:textId="77777777" w:rsidR="003B0E73" w:rsidRDefault="00017256">
      <w:pPr>
        <w:pStyle w:val="Heading2"/>
        <w:numPr>
          <w:ilvl w:val="0"/>
          <w:numId w:val="2"/>
        </w:numPr>
        <w:ind w:left="2267" w:hanging="283"/>
        <w:rPr>
          <w:sz w:val="24"/>
          <w:szCs w:val="24"/>
        </w:rPr>
      </w:pPr>
      <w:bookmarkStart w:id="101" w:name="_heading=h.bynp32xze9kv" w:colFirst="0" w:colLast="0"/>
      <w:bookmarkEnd w:id="101"/>
      <w:r>
        <w:rPr>
          <w:sz w:val="24"/>
          <w:szCs w:val="24"/>
        </w:rPr>
        <w:t>How to carry out the decomposition analysis</w:t>
      </w:r>
    </w:p>
    <w:p w14:paraId="04D4FC63" w14:textId="77777777" w:rsidR="003B0E73" w:rsidRDefault="00017256">
      <w:pPr>
        <w:pStyle w:val="Heading2"/>
        <w:numPr>
          <w:ilvl w:val="0"/>
          <w:numId w:val="2"/>
        </w:numPr>
        <w:ind w:left="2267" w:hanging="283"/>
        <w:rPr>
          <w:sz w:val="24"/>
          <w:szCs w:val="24"/>
        </w:rPr>
      </w:pPr>
      <w:bookmarkStart w:id="102" w:name="_heading=h.iamfm0gdt3sz" w:colFirst="0" w:colLast="0"/>
      <w:bookmarkEnd w:id="102"/>
      <w:r>
        <w:rPr>
          <w:sz w:val="24"/>
          <w:szCs w:val="24"/>
        </w:rPr>
        <w:t xml:space="preserve">What robustness tests to conduct to ensure statistical tests are valid </w:t>
      </w:r>
      <w:proofErr w:type="gramStart"/>
      <w:r>
        <w:rPr>
          <w:sz w:val="24"/>
          <w:szCs w:val="24"/>
        </w:rPr>
        <w:t>i.e.</w:t>
      </w:r>
      <w:proofErr w:type="gramEnd"/>
      <w:r>
        <w:rPr>
          <w:sz w:val="24"/>
          <w:szCs w:val="24"/>
        </w:rPr>
        <w:t xml:space="preserve"> meet their assumptions, and how to carry out these tests</w:t>
      </w:r>
    </w:p>
    <w:p w14:paraId="79E30E78" w14:textId="77777777" w:rsidR="003B0E73" w:rsidRDefault="00017256">
      <w:pPr>
        <w:pStyle w:val="Heading2"/>
        <w:numPr>
          <w:ilvl w:val="0"/>
          <w:numId w:val="2"/>
        </w:numPr>
        <w:pBdr>
          <w:top w:val="nil"/>
          <w:left w:val="nil"/>
          <w:bottom w:val="nil"/>
          <w:right w:val="nil"/>
          <w:between w:val="nil"/>
        </w:pBdr>
        <w:ind w:left="2267" w:hanging="283"/>
        <w:rPr>
          <w:sz w:val="24"/>
          <w:szCs w:val="24"/>
        </w:rPr>
      </w:pPr>
      <w:bookmarkStart w:id="103" w:name="_heading=h.bo479xbgeqqo" w:colFirst="0" w:colLast="0"/>
      <w:bookmarkEnd w:id="103"/>
      <w:r>
        <w:rPr>
          <w:sz w:val="24"/>
          <w:szCs w:val="24"/>
        </w:rPr>
        <w:lastRenderedPageBreak/>
        <w:t>How to interpret the statistical outputs from the decomposition analysis</w:t>
      </w:r>
    </w:p>
    <w:p w14:paraId="16AF0DC1" w14:textId="77777777" w:rsidR="003B0E73" w:rsidRDefault="00017256">
      <w:pPr>
        <w:pStyle w:val="Heading2"/>
        <w:numPr>
          <w:ilvl w:val="0"/>
          <w:numId w:val="2"/>
        </w:numPr>
        <w:pBdr>
          <w:top w:val="nil"/>
          <w:left w:val="nil"/>
          <w:bottom w:val="nil"/>
          <w:right w:val="nil"/>
          <w:between w:val="nil"/>
        </w:pBdr>
        <w:ind w:left="2267" w:hanging="283"/>
        <w:rPr>
          <w:sz w:val="24"/>
          <w:szCs w:val="24"/>
        </w:rPr>
      </w:pPr>
      <w:bookmarkStart w:id="104" w:name="_heading=h.iv77cxhs72wo" w:colFirst="0" w:colLast="0"/>
      <w:bookmarkEnd w:id="104"/>
      <w:r>
        <w:rPr>
          <w:sz w:val="24"/>
          <w:szCs w:val="24"/>
        </w:rPr>
        <w:t>A clear guide on how to accurately write and present the results</w:t>
      </w:r>
    </w:p>
    <w:p w14:paraId="54AF57D7" w14:textId="77777777" w:rsidR="003B0E73" w:rsidRDefault="00017256">
      <w:pPr>
        <w:pStyle w:val="Heading2"/>
        <w:numPr>
          <w:ilvl w:val="0"/>
          <w:numId w:val="2"/>
        </w:numPr>
        <w:pBdr>
          <w:top w:val="nil"/>
          <w:left w:val="nil"/>
          <w:bottom w:val="nil"/>
          <w:right w:val="nil"/>
          <w:between w:val="nil"/>
        </w:pBdr>
        <w:ind w:left="2267" w:hanging="283"/>
        <w:rPr>
          <w:sz w:val="24"/>
          <w:szCs w:val="24"/>
        </w:rPr>
      </w:pPr>
      <w:bookmarkStart w:id="105" w:name="_heading=h.it9jb491otwp" w:colFirst="0" w:colLast="0"/>
      <w:bookmarkEnd w:id="105"/>
      <w:r>
        <w:rPr>
          <w:sz w:val="24"/>
          <w:szCs w:val="24"/>
        </w:rPr>
        <w:t>Relevant statistical background to explain the decision making behind the analytical approaches and methods used</w:t>
      </w:r>
    </w:p>
    <w:p w14:paraId="65C9ABD2" w14:textId="77777777" w:rsidR="003B0E73" w:rsidRDefault="00017256">
      <w:pPr>
        <w:pStyle w:val="Heading2"/>
        <w:numPr>
          <w:ilvl w:val="0"/>
          <w:numId w:val="2"/>
        </w:numPr>
        <w:pBdr>
          <w:top w:val="nil"/>
          <w:left w:val="nil"/>
          <w:bottom w:val="nil"/>
          <w:right w:val="nil"/>
          <w:between w:val="nil"/>
        </w:pBdr>
        <w:ind w:left="2267" w:hanging="283"/>
        <w:rPr>
          <w:sz w:val="24"/>
          <w:szCs w:val="24"/>
        </w:rPr>
      </w:pPr>
      <w:bookmarkStart w:id="106" w:name="_heading=h.n4zzcfpbk5bz" w:colFirst="0" w:colLast="0"/>
      <w:bookmarkEnd w:id="106"/>
      <w:r>
        <w:rPr>
          <w:sz w:val="24"/>
          <w:szCs w:val="24"/>
        </w:rPr>
        <w:t xml:space="preserve">Any other information relevant or useful for carrying out decomposition analysis, including how to incorporate different data types </w:t>
      </w:r>
      <w:proofErr w:type="gramStart"/>
      <w:r>
        <w:rPr>
          <w:sz w:val="24"/>
          <w:szCs w:val="24"/>
        </w:rPr>
        <w:t>e.g.</w:t>
      </w:r>
      <w:proofErr w:type="gramEnd"/>
      <w:r>
        <w:rPr>
          <w:sz w:val="24"/>
          <w:szCs w:val="24"/>
        </w:rPr>
        <w:t xml:space="preserve"> continuous, factors, binomial</w:t>
      </w:r>
    </w:p>
    <w:p w14:paraId="04D17388" w14:textId="77777777" w:rsidR="003B0E73" w:rsidRDefault="00017256">
      <w:pPr>
        <w:pStyle w:val="Heading2"/>
        <w:numPr>
          <w:ilvl w:val="2"/>
          <w:numId w:val="4"/>
        </w:numPr>
        <w:pBdr>
          <w:top w:val="nil"/>
          <w:left w:val="nil"/>
          <w:bottom w:val="nil"/>
          <w:right w:val="nil"/>
          <w:between w:val="nil"/>
        </w:pBdr>
        <w:rPr>
          <w:sz w:val="24"/>
          <w:szCs w:val="24"/>
        </w:rPr>
      </w:pPr>
      <w:bookmarkStart w:id="107" w:name="_heading=h.xa07tsjpt1n1" w:colFirst="0" w:colLast="0"/>
      <w:bookmarkEnd w:id="107"/>
      <w:r>
        <w:rPr>
          <w:sz w:val="24"/>
          <w:szCs w:val="24"/>
        </w:rPr>
        <w:t>Code, preferably using the R coding language, for all steps involved in decomposition analysis, including but not limited to: data cleaning, data processing, decomposition analysis, and validity testing. The code should include a dummy or example dataset which can be run through the code.</w:t>
      </w:r>
    </w:p>
    <w:p w14:paraId="7249CC85" w14:textId="77777777" w:rsidR="003B0E73" w:rsidRDefault="00017256">
      <w:pPr>
        <w:pStyle w:val="Heading2"/>
        <w:numPr>
          <w:ilvl w:val="2"/>
          <w:numId w:val="4"/>
        </w:numPr>
        <w:pBdr>
          <w:top w:val="nil"/>
          <w:left w:val="nil"/>
          <w:bottom w:val="nil"/>
          <w:right w:val="nil"/>
          <w:between w:val="nil"/>
        </w:pBdr>
        <w:rPr>
          <w:sz w:val="24"/>
          <w:szCs w:val="24"/>
        </w:rPr>
      </w:pPr>
      <w:bookmarkStart w:id="108" w:name="_heading=h.8ueflb3if365" w:colFirst="0" w:colLast="0"/>
      <w:bookmarkEnd w:id="108"/>
      <w:r>
        <w:rPr>
          <w:sz w:val="24"/>
          <w:szCs w:val="24"/>
        </w:rPr>
        <w:t>A presentation to Authority analysts to aid understanding and provide an opportunity for questions and discussion.</w:t>
      </w:r>
    </w:p>
    <w:p w14:paraId="1437F94A" w14:textId="77777777" w:rsidR="003B0E73" w:rsidRDefault="00017256">
      <w:pPr>
        <w:pStyle w:val="Heading2"/>
        <w:numPr>
          <w:ilvl w:val="1"/>
          <w:numId w:val="4"/>
        </w:numPr>
        <w:pBdr>
          <w:top w:val="nil"/>
          <w:left w:val="nil"/>
          <w:bottom w:val="nil"/>
          <w:right w:val="nil"/>
          <w:between w:val="nil"/>
        </w:pBdr>
      </w:pPr>
      <w:bookmarkStart w:id="109" w:name="_heading=h.ahpqy2x3h7kh" w:colFirst="0" w:colLast="0"/>
      <w:bookmarkEnd w:id="109"/>
      <w:r>
        <w:rPr>
          <w:sz w:val="24"/>
          <w:szCs w:val="24"/>
        </w:rPr>
        <w:t xml:space="preserve">The methodology document should be a </w:t>
      </w:r>
      <w:proofErr w:type="gramStart"/>
      <w:r>
        <w:rPr>
          <w:sz w:val="24"/>
          <w:szCs w:val="24"/>
        </w:rPr>
        <w:t>step by step</w:t>
      </w:r>
      <w:proofErr w:type="gramEnd"/>
      <w:r>
        <w:rPr>
          <w:sz w:val="24"/>
          <w:szCs w:val="24"/>
        </w:rPr>
        <w:t xml:space="preserve"> guide on how to carry out decomposition analysis. It should sit alongside and complement the code, referencing which sections or lines of code the methodology document is referring to at each step. The methodology document should use outputs from running the dummy or example dataset through the code to describe how to interpret the results of a decomposition analysis.</w:t>
      </w:r>
    </w:p>
    <w:p w14:paraId="42633FCF" w14:textId="77777777" w:rsidR="003B0E73" w:rsidRDefault="00017256">
      <w:pPr>
        <w:pStyle w:val="Heading2"/>
        <w:numPr>
          <w:ilvl w:val="1"/>
          <w:numId w:val="4"/>
        </w:numPr>
        <w:pBdr>
          <w:top w:val="nil"/>
          <w:left w:val="nil"/>
          <w:bottom w:val="nil"/>
          <w:right w:val="nil"/>
          <w:between w:val="nil"/>
        </w:pBdr>
      </w:pPr>
      <w:bookmarkStart w:id="110" w:name="_heading=h.l5xguotm15ow" w:colFirst="0" w:colLast="0"/>
      <w:bookmarkEnd w:id="110"/>
      <w:r>
        <w:rPr>
          <w:sz w:val="24"/>
          <w:szCs w:val="24"/>
        </w:rPr>
        <w:t>The methodology document should provide guidance and instructions on any differences in methodology needed to carry out decomposition analysis on the disability pay gap and ethnicity pay gap.</w:t>
      </w:r>
    </w:p>
    <w:p w14:paraId="7493BD51" w14:textId="77777777" w:rsidR="003B0E73" w:rsidRDefault="00017256">
      <w:pPr>
        <w:pStyle w:val="Heading2"/>
        <w:numPr>
          <w:ilvl w:val="1"/>
          <w:numId w:val="4"/>
        </w:numPr>
        <w:pBdr>
          <w:top w:val="nil"/>
          <w:left w:val="nil"/>
          <w:bottom w:val="nil"/>
          <w:right w:val="nil"/>
          <w:between w:val="nil"/>
        </w:pBdr>
      </w:pPr>
      <w:bookmarkStart w:id="111" w:name="_heading=h.gqa5nrk2rl26" w:colFirst="0" w:colLast="0"/>
      <w:bookmarkEnd w:id="111"/>
      <w:r>
        <w:rPr>
          <w:sz w:val="24"/>
          <w:szCs w:val="24"/>
        </w:rPr>
        <w:t>All code should follow best practice for coding</w:t>
      </w:r>
      <w:r>
        <w:rPr>
          <w:sz w:val="24"/>
          <w:szCs w:val="24"/>
          <w:vertAlign w:val="superscript"/>
        </w:rPr>
        <w:footnoteReference w:id="23"/>
      </w:r>
      <w:r>
        <w:rPr>
          <w:sz w:val="24"/>
          <w:szCs w:val="24"/>
        </w:rPr>
        <w:t>. It should be well structured, clearly annotated, and be easily adapted to carry out additional decomposition analysis.</w:t>
      </w:r>
    </w:p>
    <w:p w14:paraId="62D2B373" w14:textId="77777777" w:rsidR="003B0E73" w:rsidRDefault="00017256">
      <w:pPr>
        <w:pStyle w:val="Heading2"/>
        <w:numPr>
          <w:ilvl w:val="1"/>
          <w:numId w:val="4"/>
        </w:numPr>
        <w:pBdr>
          <w:top w:val="nil"/>
          <w:left w:val="nil"/>
          <w:bottom w:val="nil"/>
          <w:right w:val="nil"/>
          <w:between w:val="nil"/>
        </w:pBdr>
      </w:pPr>
      <w:bookmarkStart w:id="112" w:name="_heading=h.297q7up9x6c0" w:colFirst="0" w:colLast="0"/>
      <w:bookmarkEnd w:id="112"/>
      <w:r>
        <w:rPr>
          <w:sz w:val="24"/>
          <w:szCs w:val="24"/>
        </w:rPr>
        <w:t>A final version of the processed dataset should accompany the code to allow Authority analysts to use the code to exactly replicate the results of the decomposition analysis. This dataset will remain the intellectual property of the Authority.</w:t>
      </w:r>
    </w:p>
    <w:p w14:paraId="483B39B0" w14:textId="77777777" w:rsidR="003B0E73" w:rsidRDefault="00017256">
      <w:pPr>
        <w:pStyle w:val="Heading2"/>
        <w:numPr>
          <w:ilvl w:val="1"/>
          <w:numId w:val="4"/>
        </w:numPr>
        <w:pBdr>
          <w:top w:val="nil"/>
          <w:left w:val="nil"/>
          <w:bottom w:val="nil"/>
          <w:right w:val="nil"/>
          <w:between w:val="nil"/>
        </w:pBdr>
      </w:pPr>
      <w:bookmarkStart w:id="113" w:name="_heading=h.2uig4webqbab" w:colFirst="0" w:colLast="0"/>
      <w:bookmarkEnd w:id="113"/>
      <w:r>
        <w:rPr>
          <w:sz w:val="24"/>
          <w:szCs w:val="24"/>
        </w:rPr>
        <w:lastRenderedPageBreak/>
        <w:t>The presentation should provide a comprehensive run through of the methodology document and code, and provide analysts at the Authority with an opportunity to ask questions.</w:t>
      </w:r>
    </w:p>
    <w:p w14:paraId="2320F8E5" w14:textId="77777777" w:rsidR="003B0E73" w:rsidRDefault="00017256">
      <w:pPr>
        <w:pStyle w:val="Heading2"/>
        <w:numPr>
          <w:ilvl w:val="1"/>
          <w:numId w:val="4"/>
        </w:numPr>
        <w:pBdr>
          <w:top w:val="nil"/>
          <w:left w:val="nil"/>
          <w:bottom w:val="nil"/>
          <w:right w:val="nil"/>
          <w:between w:val="nil"/>
        </w:pBdr>
      </w:pPr>
      <w:bookmarkStart w:id="114" w:name="_heading=h.32ptgj16tk3d" w:colFirst="0" w:colLast="0"/>
      <w:bookmarkEnd w:id="114"/>
      <w:r>
        <w:rPr>
          <w:sz w:val="24"/>
          <w:szCs w:val="24"/>
        </w:rPr>
        <w:t>Following the presentation, the Supplier is expected to provide eight hours of contact time with Authority analysts to provide support on carrying out decomposition analysis. This contact time could be in the form of emails or meetings.</w:t>
      </w:r>
    </w:p>
    <w:p w14:paraId="42F92882" w14:textId="77777777" w:rsidR="003B0E73" w:rsidRDefault="00017256">
      <w:pPr>
        <w:pStyle w:val="Heading2"/>
        <w:numPr>
          <w:ilvl w:val="1"/>
          <w:numId w:val="4"/>
        </w:numPr>
        <w:pBdr>
          <w:top w:val="nil"/>
          <w:left w:val="nil"/>
          <w:bottom w:val="nil"/>
          <w:right w:val="nil"/>
          <w:between w:val="nil"/>
        </w:pBdr>
      </w:pPr>
      <w:bookmarkStart w:id="115" w:name="_heading=h.sge89cldzndg" w:colFirst="0" w:colLast="0"/>
      <w:bookmarkEnd w:id="115"/>
      <w:r>
        <w:rPr>
          <w:sz w:val="24"/>
          <w:szCs w:val="24"/>
        </w:rPr>
        <w:t>Whilst the methodology document (including annexes) and presentation should go into sufficient detail and statistical methods, they should still endeavour to be accessible, use plain English and avoid technical jargon where possible.</w:t>
      </w:r>
    </w:p>
    <w:p w14:paraId="6B93C95B" w14:textId="77777777" w:rsidR="003B0E73" w:rsidRDefault="00017256">
      <w:pPr>
        <w:pStyle w:val="Heading2"/>
        <w:numPr>
          <w:ilvl w:val="1"/>
          <w:numId w:val="4"/>
        </w:numPr>
        <w:pBdr>
          <w:top w:val="nil"/>
          <w:left w:val="nil"/>
          <w:bottom w:val="nil"/>
          <w:right w:val="nil"/>
          <w:between w:val="nil"/>
        </w:pBdr>
      </w:pPr>
      <w:bookmarkStart w:id="116" w:name="_heading=h.m9wfgfcwzbcw" w:colFirst="0" w:colLast="0"/>
      <w:bookmarkEnd w:id="116"/>
      <w:r>
        <w:rPr>
          <w:sz w:val="24"/>
          <w:szCs w:val="24"/>
        </w:rPr>
        <w:t>To ensure training materials meet the expectations and requirements of the Authority, drafts should be shared with the Department as early as is practicable. The Authority reserves the right to request iterations of the output or tool until they meet the agreed upon standard. Comments on draft outputs or training tools should be given and dealt with in a timely manner, to be agreed upon between the Supplier and the Authority.</w:t>
      </w:r>
    </w:p>
    <w:p w14:paraId="1FA0A8DD" w14:textId="77777777" w:rsidR="003B0E73" w:rsidRDefault="00017256">
      <w:pPr>
        <w:pStyle w:val="Heading2"/>
        <w:numPr>
          <w:ilvl w:val="1"/>
          <w:numId w:val="4"/>
        </w:numPr>
        <w:pBdr>
          <w:top w:val="nil"/>
          <w:left w:val="nil"/>
          <w:bottom w:val="nil"/>
          <w:right w:val="nil"/>
          <w:between w:val="nil"/>
        </w:pBdr>
      </w:pPr>
      <w:bookmarkStart w:id="117" w:name="_heading=h.4fpezu8kg95j" w:colFirst="0" w:colLast="0"/>
      <w:bookmarkEnd w:id="117"/>
      <w:r>
        <w:rPr>
          <w:sz w:val="24"/>
          <w:szCs w:val="24"/>
        </w:rPr>
        <w:t xml:space="preserve">The Authority requires the supplier to clearly communicate any operating system, software, packages or other stipulations which are needed for the successful delivery of </w:t>
      </w:r>
      <w:r>
        <w:rPr>
          <w:b/>
          <w:sz w:val="24"/>
          <w:szCs w:val="24"/>
        </w:rPr>
        <w:t>F. Final training package</w:t>
      </w:r>
      <w:r>
        <w:rPr>
          <w:sz w:val="24"/>
          <w:szCs w:val="24"/>
        </w:rPr>
        <w:t xml:space="preserve"> as part of </w:t>
      </w:r>
      <w:r>
        <w:rPr>
          <w:b/>
          <w:sz w:val="24"/>
          <w:szCs w:val="24"/>
        </w:rPr>
        <w:t>A. Inception meeting</w:t>
      </w:r>
      <w:r>
        <w:rPr>
          <w:sz w:val="24"/>
          <w:szCs w:val="24"/>
        </w:rPr>
        <w:t>. This is to allow Authority analysts sufficient time to obtain these requirements.</w:t>
      </w:r>
    </w:p>
    <w:p w14:paraId="717AE30D" w14:textId="77777777" w:rsidR="003B0E73" w:rsidRDefault="00017256">
      <w:pPr>
        <w:pStyle w:val="Heading2"/>
        <w:numPr>
          <w:ilvl w:val="1"/>
          <w:numId w:val="4"/>
        </w:numPr>
        <w:pBdr>
          <w:top w:val="nil"/>
          <w:left w:val="nil"/>
          <w:bottom w:val="nil"/>
          <w:right w:val="nil"/>
          <w:between w:val="nil"/>
        </w:pBdr>
      </w:pPr>
      <w:bookmarkStart w:id="118" w:name="_heading=h.6w3gmnulltu" w:colFirst="0" w:colLast="0"/>
      <w:bookmarkEnd w:id="118"/>
      <w:r>
        <w:rPr>
          <w:sz w:val="24"/>
          <w:szCs w:val="24"/>
        </w:rPr>
        <w:t>The Authority welcomes innovative approaches to improve the final training package.</w:t>
      </w:r>
    </w:p>
    <w:p w14:paraId="12654F7A" w14:textId="77777777" w:rsidR="003B0E73" w:rsidRDefault="00017256">
      <w:pPr>
        <w:pStyle w:val="Heading2"/>
        <w:numPr>
          <w:ilvl w:val="1"/>
          <w:numId w:val="4"/>
        </w:numPr>
        <w:pBdr>
          <w:top w:val="nil"/>
          <w:left w:val="nil"/>
          <w:bottom w:val="nil"/>
          <w:right w:val="nil"/>
          <w:between w:val="nil"/>
        </w:pBdr>
      </w:pPr>
      <w:bookmarkStart w:id="119" w:name="_heading=h.tc88nk53brm2" w:colFirst="0" w:colLast="0"/>
      <w:bookmarkEnd w:id="119"/>
      <w:r>
        <w:rPr>
          <w:sz w:val="24"/>
          <w:szCs w:val="24"/>
        </w:rPr>
        <w:t>All parts of the training package will remain the intellectual property of the Authority. The Authority may record any presentations for the purpose of future internal training.</w:t>
      </w:r>
    </w:p>
    <w:p w14:paraId="53A6C892" w14:textId="77777777" w:rsidR="003B0E73" w:rsidRDefault="00017256">
      <w:pPr>
        <w:pStyle w:val="Heading1"/>
        <w:numPr>
          <w:ilvl w:val="0"/>
          <w:numId w:val="4"/>
        </w:numPr>
        <w:rPr>
          <w:sz w:val="32"/>
          <w:szCs w:val="32"/>
        </w:rPr>
      </w:pPr>
      <w:bookmarkStart w:id="120" w:name="_heading=h.17dp8vu" w:colFirst="0" w:colLast="0"/>
      <w:bookmarkEnd w:id="120"/>
      <w:r>
        <w:rPr>
          <w:sz w:val="32"/>
          <w:szCs w:val="32"/>
        </w:rPr>
        <w:t>KEY MILESTONES AND DELIVERABLES</w:t>
      </w:r>
    </w:p>
    <w:p w14:paraId="40696D4B" w14:textId="77777777" w:rsidR="003B0E73" w:rsidRDefault="00017256">
      <w:pPr>
        <w:pStyle w:val="Heading2"/>
        <w:numPr>
          <w:ilvl w:val="1"/>
          <w:numId w:val="4"/>
        </w:numPr>
        <w:pBdr>
          <w:top w:val="nil"/>
          <w:left w:val="nil"/>
          <w:bottom w:val="nil"/>
          <w:right w:val="nil"/>
          <w:between w:val="nil"/>
        </w:pBdr>
      </w:pPr>
      <w:r>
        <w:rPr>
          <w:sz w:val="24"/>
          <w:szCs w:val="24"/>
        </w:rPr>
        <w:t>The Authority will measure the quality of the Supplier’s delivery by delivering against the following timetable and milestones. It is expected that the Supplier shall be available to start work immediately on award of contract.</w:t>
      </w:r>
    </w:p>
    <w:p w14:paraId="2792B170" w14:textId="0C41FFF9" w:rsidR="003B0E73" w:rsidRDefault="00017256">
      <w:pPr>
        <w:pStyle w:val="Heading2"/>
        <w:numPr>
          <w:ilvl w:val="1"/>
          <w:numId w:val="4"/>
        </w:numPr>
        <w:pBdr>
          <w:top w:val="nil"/>
          <w:left w:val="nil"/>
          <w:bottom w:val="nil"/>
          <w:right w:val="nil"/>
          <w:between w:val="nil"/>
        </w:pBdr>
      </w:pPr>
      <w:r>
        <w:rPr>
          <w:sz w:val="24"/>
          <w:szCs w:val="24"/>
        </w:rPr>
        <w:t xml:space="preserve">The research is anticipated to run from </w:t>
      </w:r>
      <w:r w:rsidR="00BE3518" w:rsidRPr="00BE3518">
        <w:rPr>
          <w:color w:val="FF0000"/>
          <w:sz w:val="24"/>
          <w:szCs w:val="24"/>
        </w:rPr>
        <w:t>May</w:t>
      </w:r>
      <w:r w:rsidRPr="00BE3518">
        <w:rPr>
          <w:color w:val="FF0000"/>
          <w:sz w:val="24"/>
          <w:szCs w:val="24"/>
        </w:rPr>
        <w:t xml:space="preserve"> </w:t>
      </w:r>
      <w:r>
        <w:rPr>
          <w:sz w:val="24"/>
          <w:szCs w:val="24"/>
        </w:rPr>
        <w:t>2025 for approximately 9 months. Our suggested project timeline is shown below. Potential Suppliers should produce a detailed timeline as part of their submission.</w:t>
      </w:r>
    </w:p>
    <w:p w14:paraId="39898403" w14:textId="74DCFA45" w:rsidR="00BE3518" w:rsidRDefault="00017256" w:rsidP="00BE3518">
      <w:pPr>
        <w:pStyle w:val="Heading2"/>
        <w:numPr>
          <w:ilvl w:val="1"/>
          <w:numId w:val="4"/>
        </w:numPr>
        <w:pBdr>
          <w:top w:val="nil"/>
          <w:left w:val="nil"/>
          <w:bottom w:val="nil"/>
          <w:right w:val="nil"/>
          <w:between w:val="nil"/>
        </w:pBdr>
      </w:pPr>
      <w:r>
        <w:rPr>
          <w:sz w:val="24"/>
          <w:szCs w:val="24"/>
        </w:rPr>
        <w:t>The following indicative timetable sets out the proposed key stages and deliverables:</w:t>
      </w:r>
      <w:bookmarkStart w:id="121" w:name="_heading=h.3rdcrjn" w:colFirst="0" w:colLast="0"/>
      <w:bookmarkEnd w:id="121"/>
    </w:p>
    <w:tbl>
      <w:tblPr>
        <w:tblW w:w="10560" w:type="dxa"/>
        <w:tblInd w:w="-816"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670"/>
        <w:gridCol w:w="3945"/>
        <w:gridCol w:w="3945"/>
      </w:tblGrid>
      <w:tr w:rsidR="00BE3518" w14:paraId="40A6B572" w14:textId="77777777" w:rsidTr="00BE3518">
        <w:tc>
          <w:tcPr>
            <w:tcW w:w="2671" w:type="dxa"/>
            <w:tcBorders>
              <w:top w:val="single" w:sz="24" w:space="0" w:color="000000"/>
              <w:left w:val="single" w:sz="24" w:space="0" w:color="000000"/>
              <w:bottom w:val="single" w:sz="6" w:space="0" w:color="000000"/>
              <w:right w:val="single" w:sz="6" w:space="0" w:color="000000"/>
            </w:tcBorders>
            <w:shd w:val="clear" w:color="auto" w:fill="C6D9F1"/>
            <w:vAlign w:val="center"/>
            <w:hideMark/>
          </w:tcPr>
          <w:p w14:paraId="6B9A3983" w14:textId="77777777" w:rsidR="00BE3518" w:rsidRDefault="00BE3518">
            <w:pPr>
              <w:pStyle w:val="Heading3"/>
              <w:numPr>
                <w:ilvl w:val="0"/>
                <w:numId w:val="0"/>
              </w:numPr>
              <w:spacing w:after="120" w:line="256" w:lineRule="auto"/>
              <w:rPr>
                <w:bCs/>
                <w:sz w:val="24"/>
                <w:szCs w:val="24"/>
              </w:rPr>
            </w:pPr>
            <w:r>
              <w:rPr>
                <w:bCs/>
                <w:sz w:val="24"/>
                <w:szCs w:val="24"/>
              </w:rPr>
              <w:lastRenderedPageBreak/>
              <w:t>Milestone</w:t>
            </w:r>
          </w:p>
        </w:tc>
        <w:tc>
          <w:tcPr>
            <w:tcW w:w="3947" w:type="dxa"/>
            <w:tcBorders>
              <w:top w:val="single" w:sz="24" w:space="0" w:color="000000"/>
              <w:left w:val="single" w:sz="6" w:space="0" w:color="000000"/>
              <w:bottom w:val="single" w:sz="6" w:space="0" w:color="000000"/>
              <w:right w:val="single" w:sz="6" w:space="0" w:color="000000"/>
            </w:tcBorders>
            <w:shd w:val="clear" w:color="auto" w:fill="C6D9F1"/>
            <w:vAlign w:val="center"/>
            <w:hideMark/>
          </w:tcPr>
          <w:p w14:paraId="169D3467" w14:textId="77777777" w:rsidR="00BE3518" w:rsidRDefault="00BE3518">
            <w:pPr>
              <w:pStyle w:val="Heading3"/>
              <w:numPr>
                <w:ilvl w:val="0"/>
                <w:numId w:val="0"/>
              </w:numPr>
              <w:spacing w:after="120" w:line="256" w:lineRule="auto"/>
              <w:rPr>
                <w:bCs/>
                <w:sz w:val="24"/>
                <w:szCs w:val="24"/>
              </w:rPr>
            </w:pPr>
            <w:r>
              <w:rPr>
                <w:bCs/>
                <w:sz w:val="24"/>
                <w:szCs w:val="24"/>
              </w:rPr>
              <w:t>Description</w:t>
            </w:r>
          </w:p>
        </w:tc>
        <w:tc>
          <w:tcPr>
            <w:tcW w:w="3947" w:type="dxa"/>
            <w:tcBorders>
              <w:top w:val="single" w:sz="24" w:space="0" w:color="000000"/>
              <w:left w:val="single" w:sz="6" w:space="0" w:color="000000"/>
              <w:bottom w:val="single" w:sz="6" w:space="0" w:color="000000"/>
              <w:right w:val="single" w:sz="24" w:space="0" w:color="000000"/>
            </w:tcBorders>
            <w:shd w:val="clear" w:color="auto" w:fill="C6D9F1"/>
            <w:hideMark/>
          </w:tcPr>
          <w:p w14:paraId="27F016C8" w14:textId="77777777" w:rsidR="00BE3518" w:rsidRDefault="00BE3518">
            <w:pPr>
              <w:pStyle w:val="Heading3"/>
              <w:numPr>
                <w:ilvl w:val="0"/>
                <w:numId w:val="0"/>
              </w:numPr>
              <w:spacing w:after="120" w:line="256" w:lineRule="auto"/>
              <w:rPr>
                <w:bCs/>
                <w:sz w:val="24"/>
                <w:szCs w:val="24"/>
              </w:rPr>
            </w:pPr>
            <w:r>
              <w:rPr>
                <w:bCs/>
                <w:sz w:val="24"/>
                <w:szCs w:val="24"/>
              </w:rPr>
              <w:t>Delivery date</w:t>
            </w:r>
          </w:p>
        </w:tc>
      </w:tr>
      <w:tr w:rsidR="00BE3518" w14:paraId="64F7EB2C" w14:textId="77777777" w:rsidTr="00BE3518">
        <w:tc>
          <w:tcPr>
            <w:tcW w:w="2671" w:type="dxa"/>
            <w:tcBorders>
              <w:top w:val="single" w:sz="6" w:space="0" w:color="000000"/>
              <w:left w:val="single" w:sz="24" w:space="0" w:color="000000"/>
              <w:bottom w:val="single" w:sz="6" w:space="0" w:color="000000"/>
              <w:right w:val="single" w:sz="6" w:space="0" w:color="000000"/>
            </w:tcBorders>
            <w:vAlign w:val="center"/>
            <w:hideMark/>
          </w:tcPr>
          <w:p w14:paraId="568BB87F" w14:textId="77777777" w:rsidR="00BE3518" w:rsidRDefault="00BE3518">
            <w:pPr>
              <w:pStyle w:val="Heading3"/>
              <w:numPr>
                <w:ilvl w:val="0"/>
                <w:numId w:val="0"/>
              </w:numPr>
              <w:spacing w:after="120" w:line="256" w:lineRule="auto"/>
              <w:rPr>
                <w:b/>
                <w:sz w:val="24"/>
                <w:szCs w:val="24"/>
              </w:rPr>
            </w:pPr>
            <w:r>
              <w:rPr>
                <w:sz w:val="24"/>
                <w:szCs w:val="24"/>
              </w:rPr>
              <w:t>1</w:t>
            </w:r>
          </w:p>
        </w:tc>
        <w:tc>
          <w:tcPr>
            <w:tcW w:w="3947" w:type="dxa"/>
            <w:tcBorders>
              <w:top w:val="single" w:sz="6" w:space="0" w:color="000000"/>
              <w:left w:val="single" w:sz="6" w:space="0" w:color="000000"/>
              <w:bottom w:val="single" w:sz="6" w:space="0" w:color="000000"/>
              <w:right w:val="single" w:sz="6" w:space="0" w:color="000000"/>
            </w:tcBorders>
            <w:vAlign w:val="center"/>
            <w:hideMark/>
          </w:tcPr>
          <w:p w14:paraId="4931B10F" w14:textId="77777777" w:rsidR="00BE3518" w:rsidRDefault="00BE3518">
            <w:pPr>
              <w:pStyle w:val="Heading3"/>
              <w:numPr>
                <w:ilvl w:val="0"/>
                <w:numId w:val="0"/>
              </w:numPr>
              <w:spacing w:after="120" w:line="256" w:lineRule="auto"/>
              <w:rPr>
                <w:b/>
                <w:sz w:val="24"/>
                <w:szCs w:val="24"/>
              </w:rPr>
            </w:pPr>
            <w:r>
              <w:rPr>
                <w:sz w:val="24"/>
                <w:szCs w:val="24"/>
              </w:rPr>
              <w:t>Award of contract</w:t>
            </w:r>
          </w:p>
        </w:tc>
        <w:tc>
          <w:tcPr>
            <w:tcW w:w="3947" w:type="dxa"/>
            <w:tcBorders>
              <w:top w:val="single" w:sz="6" w:space="0" w:color="000000"/>
              <w:left w:val="single" w:sz="6" w:space="0" w:color="000000"/>
              <w:bottom w:val="single" w:sz="6" w:space="0" w:color="000000"/>
              <w:right w:val="single" w:sz="24" w:space="0" w:color="000000"/>
            </w:tcBorders>
            <w:hideMark/>
          </w:tcPr>
          <w:p w14:paraId="12626CE3" w14:textId="77777777" w:rsidR="00BE3518" w:rsidRDefault="00BE3518">
            <w:pPr>
              <w:pStyle w:val="Heading3"/>
              <w:numPr>
                <w:ilvl w:val="0"/>
                <w:numId w:val="0"/>
              </w:numPr>
              <w:spacing w:after="120" w:line="256" w:lineRule="auto"/>
              <w:rPr>
                <w:b/>
                <w:sz w:val="24"/>
                <w:szCs w:val="24"/>
              </w:rPr>
            </w:pPr>
            <w:r>
              <w:rPr>
                <w:sz w:val="24"/>
                <w:szCs w:val="24"/>
              </w:rPr>
              <w:t xml:space="preserve">No later than </w:t>
            </w:r>
            <w:r w:rsidRPr="00BE3518">
              <w:rPr>
                <w:color w:val="FF0000"/>
                <w:sz w:val="24"/>
                <w:szCs w:val="24"/>
              </w:rPr>
              <w:t>14/05/2025</w:t>
            </w:r>
          </w:p>
        </w:tc>
      </w:tr>
      <w:tr w:rsidR="00BE3518" w14:paraId="5905FF5A" w14:textId="77777777" w:rsidTr="00BE3518">
        <w:tc>
          <w:tcPr>
            <w:tcW w:w="2671" w:type="dxa"/>
            <w:tcBorders>
              <w:top w:val="single" w:sz="6" w:space="0" w:color="000000"/>
              <w:left w:val="single" w:sz="24" w:space="0" w:color="000000"/>
              <w:bottom w:val="single" w:sz="6" w:space="0" w:color="000000"/>
              <w:right w:val="single" w:sz="6" w:space="0" w:color="000000"/>
            </w:tcBorders>
            <w:vAlign w:val="center"/>
            <w:hideMark/>
          </w:tcPr>
          <w:p w14:paraId="1605E55B" w14:textId="77777777" w:rsidR="00BE3518" w:rsidRDefault="00BE3518">
            <w:pPr>
              <w:pStyle w:val="Heading3"/>
              <w:numPr>
                <w:ilvl w:val="0"/>
                <w:numId w:val="0"/>
              </w:numPr>
              <w:spacing w:after="120" w:line="256" w:lineRule="auto"/>
              <w:rPr>
                <w:b/>
                <w:sz w:val="24"/>
                <w:szCs w:val="24"/>
              </w:rPr>
            </w:pPr>
            <w:r>
              <w:rPr>
                <w:sz w:val="24"/>
                <w:szCs w:val="24"/>
              </w:rPr>
              <w:t>2</w:t>
            </w:r>
          </w:p>
        </w:tc>
        <w:tc>
          <w:tcPr>
            <w:tcW w:w="3947" w:type="dxa"/>
            <w:tcBorders>
              <w:top w:val="single" w:sz="6" w:space="0" w:color="000000"/>
              <w:left w:val="single" w:sz="6" w:space="0" w:color="000000"/>
              <w:bottom w:val="single" w:sz="6" w:space="0" w:color="000000"/>
              <w:right w:val="single" w:sz="6" w:space="0" w:color="000000"/>
            </w:tcBorders>
            <w:vAlign w:val="center"/>
            <w:hideMark/>
          </w:tcPr>
          <w:p w14:paraId="7B3C9CE3" w14:textId="77777777" w:rsidR="00BE3518" w:rsidRDefault="00BE3518">
            <w:pPr>
              <w:pStyle w:val="Heading3"/>
              <w:numPr>
                <w:ilvl w:val="0"/>
                <w:numId w:val="0"/>
              </w:numPr>
              <w:spacing w:after="120" w:line="256" w:lineRule="auto"/>
              <w:rPr>
                <w:b/>
                <w:sz w:val="24"/>
                <w:szCs w:val="24"/>
              </w:rPr>
            </w:pPr>
            <w:r>
              <w:rPr>
                <w:sz w:val="24"/>
                <w:szCs w:val="24"/>
              </w:rPr>
              <w:t>Project planning and inception meeting including analytical plan</w:t>
            </w:r>
          </w:p>
        </w:tc>
        <w:tc>
          <w:tcPr>
            <w:tcW w:w="3947" w:type="dxa"/>
            <w:tcBorders>
              <w:top w:val="single" w:sz="6" w:space="0" w:color="000000"/>
              <w:left w:val="single" w:sz="6" w:space="0" w:color="000000"/>
              <w:bottom w:val="single" w:sz="6" w:space="0" w:color="000000"/>
              <w:right w:val="single" w:sz="24" w:space="0" w:color="000000"/>
            </w:tcBorders>
            <w:hideMark/>
          </w:tcPr>
          <w:p w14:paraId="5F5B9F95" w14:textId="77777777" w:rsidR="00BE3518" w:rsidRDefault="00BE3518">
            <w:pPr>
              <w:pStyle w:val="Heading3"/>
              <w:numPr>
                <w:ilvl w:val="0"/>
                <w:numId w:val="0"/>
              </w:numPr>
              <w:spacing w:after="120" w:line="256" w:lineRule="auto"/>
              <w:rPr>
                <w:b/>
                <w:sz w:val="24"/>
                <w:szCs w:val="24"/>
              </w:rPr>
            </w:pPr>
            <w:r>
              <w:rPr>
                <w:sz w:val="24"/>
                <w:szCs w:val="24"/>
              </w:rPr>
              <w:t xml:space="preserve">No later than </w:t>
            </w:r>
            <w:r w:rsidRPr="00BE3518">
              <w:rPr>
                <w:color w:val="FF0000"/>
                <w:sz w:val="24"/>
                <w:szCs w:val="24"/>
              </w:rPr>
              <w:t>30/05/2025</w:t>
            </w:r>
          </w:p>
        </w:tc>
      </w:tr>
      <w:tr w:rsidR="00BE3518" w14:paraId="05C35805" w14:textId="77777777" w:rsidTr="00BE3518">
        <w:tc>
          <w:tcPr>
            <w:tcW w:w="2671" w:type="dxa"/>
            <w:tcBorders>
              <w:top w:val="single" w:sz="6" w:space="0" w:color="000000"/>
              <w:left w:val="single" w:sz="24" w:space="0" w:color="000000"/>
              <w:bottom w:val="single" w:sz="6" w:space="0" w:color="000000"/>
              <w:right w:val="single" w:sz="6" w:space="0" w:color="000000"/>
            </w:tcBorders>
            <w:vAlign w:val="center"/>
            <w:hideMark/>
          </w:tcPr>
          <w:p w14:paraId="562212EF" w14:textId="77777777" w:rsidR="00BE3518" w:rsidRDefault="00BE3518">
            <w:pPr>
              <w:pStyle w:val="Heading3"/>
              <w:numPr>
                <w:ilvl w:val="0"/>
                <w:numId w:val="0"/>
              </w:numPr>
              <w:spacing w:after="120" w:line="256" w:lineRule="auto"/>
              <w:rPr>
                <w:b/>
                <w:sz w:val="24"/>
                <w:szCs w:val="24"/>
              </w:rPr>
            </w:pPr>
            <w:r>
              <w:rPr>
                <w:sz w:val="24"/>
                <w:szCs w:val="24"/>
              </w:rPr>
              <w:t>3</w:t>
            </w:r>
          </w:p>
        </w:tc>
        <w:tc>
          <w:tcPr>
            <w:tcW w:w="3947" w:type="dxa"/>
            <w:tcBorders>
              <w:top w:val="single" w:sz="6" w:space="0" w:color="000000"/>
              <w:left w:val="single" w:sz="6" w:space="0" w:color="000000"/>
              <w:bottom w:val="single" w:sz="6" w:space="0" w:color="000000"/>
              <w:right w:val="single" w:sz="6" w:space="0" w:color="000000"/>
            </w:tcBorders>
            <w:vAlign w:val="center"/>
            <w:hideMark/>
          </w:tcPr>
          <w:p w14:paraId="743D4299" w14:textId="77777777" w:rsidR="00BE3518" w:rsidRDefault="00BE3518">
            <w:pPr>
              <w:pStyle w:val="Heading3"/>
              <w:numPr>
                <w:ilvl w:val="0"/>
                <w:numId w:val="0"/>
              </w:numPr>
              <w:spacing w:after="120" w:line="256" w:lineRule="auto"/>
              <w:rPr>
                <w:b/>
                <w:sz w:val="24"/>
                <w:szCs w:val="24"/>
              </w:rPr>
            </w:pPr>
            <w:r>
              <w:rPr>
                <w:sz w:val="24"/>
                <w:szCs w:val="24"/>
              </w:rPr>
              <w:t>Interim findings presented</w:t>
            </w:r>
          </w:p>
        </w:tc>
        <w:tc>
          <w:tcPr>
            <w:tcW w:w="3947" w:type="dxa"/>
            <w:tcBorders>
              <w:top w:val="single" w:sz="6" w:space="0" w:color="000000"/>
              <w:left w:val="single" w:sz="6" w:space="0" w:color="000000"/>
              <w:bottom w:val="single" w:sz="6" w:space="0" w:color="000000"/>
              <w:right w:val="single" w:sz="24" w:space="0" w:color="000000"/>
            </w:tcBorders>
            <w:hideMark/>
          </w:tcPr>
          <w:p w14:paraId="6D30D75F" w14:textId="77777777" w:rsidR="00BE3518" w:rsidRDefault="00BE3518">
            <w:pPr>
              <w:pStyle w:val="Heading3"/>
              <w:numPr>
                <w:ilvl w:val="0"/>
                <w:numId w:val="0"/>
              </w:numPr>
              <w:spacing w:after="120" w:line="256" w:lineRule="auto"/>
              <w:rPr>
                <w:b/>
                <w:sz w:val="24"/>
                <w:szCs w:val="24"/>
              </w:rPr>
            </w:pPr>
            <w:r>
              <w:rPr>
                <w:sz w:val="24"/>
                <w:szCs w:val="24"/>
              </w:rPr>
              <w:t xml:space="preserve">No later than </w:t>
            </w:r>
            <w:r w:rsidRPr="00BE3518">
              <w:rPr>
                <w:color w:val="FF0000"/>
                <w:sz w:val="24"/>
                <w:szCs w:val="24"/>
              </w:rPr>
              <w:t>31/07/2025</w:t>
            </w:r>
          </w:p>
        </w:tc>
      </w:tr>
      <w:tr w:rsidR="00BE3518" w14:paraId="054939C8" w14:textId="77777777" w:rsidTr="00BE3518">
        <w:tc>
          <w:tcPr>
            <w:tcW w:w="2671" w:type="dxa"/>
            <w:tcBorders>
              <w:top w:val="single" w:sz="6" w:space="0" w:color="000000"/>
              <w:left w:val="single" w:sz="24" w:space="0" w:color="000000"/>
              <w:bottom w:val="single" w:sz="6" w:space="0" w:color="000000"/>
              <w:right w:val="single" w:sz="6" w:space="0" w:color="000000"/>
            </w:tcBorders>
            <w:vAlign w:val="center"/>
            <w:hideMark/>
          </w:tcPr>
          <w:p w14:paraId="321458B6" w14:textId="77777777" w:rsidR="00BE3518" w:rsidRDefault="00BE3518">
            <w:pPr>
              <w:pStyle w:val="Heading3"/>
              <w:numPr>
                <w:ilvl w:val="0"/>
                <w:numId w:val="0"/>
              </w:numPr>
              <w:spacing w:after="120" w:line="256" w:lineRule="auto"/>
              <w:rPr>
                <w:b/>
                <w:sz w:val="24"/>
                <w:szCs w:val="24"/>
              </w:rPr>
            </w:pPr>
            <w:r>
              <w:rPr>
                <w:sz w:val="24"/>
                <w:szCs w:val="24"/>
              </w:rPr>
              <w:t>4</w:t>
            </w:r>
          </w:p>
        </w:tc>
        <w:tc>
          <w:tcPr>
            <w:tcW w:w="3947" w:type="dxa"/>
            <w:tcBorders>
              <w:top w:val="single" w:sz="6" w:space="0" w:color="000000"/>
              <w:left w:val="single" w:sz="6" w:space="0" w:color="000000"/>
              <w:bottom w:val="single" w:sz="6" w:space="0" w:color="000000"/>
              <w:right w:val="single" w:sz="6" w:space="0" w:color="000000"/>
            </w:tcBorders>
            <w:vAlign w:val="center"/>
            <w:hideMark/>
          </w:tcPr>
          <w:p w14:paraId="519C0DFD" w14:textId="77777777" w:rsidR="00BE3518" w:rsidRDefault="00BE3518">
            <w:pPr>
              <w:pStyle w:val="Heading3"/>
              <w:numPr>
                <w:ilvl w:val="0"/>
                <w:numId w:val="0"/>
              </w:numPr>
              <w:spacing w:after="120" w:line="256" w:lineRule="auto"/>
              <w:rPr>
                <w:b/>
                <w:sz w:val="24"/>
                <w:szCs w:val="24"/>
              </w:rPr>
            </w:pPr>
            <w:r>
              <w:rPr>
                <w:sz w:val="24"/>
                <w:szCs w:val="24"/>
              </w:rPr>
              <w:t>Interim training package presented</w:t>
            </w:r>
          </w:p>
        </w:tc>
        <w:tc>
          <w:tcPr>
            <w:tcW w:w="3947" w:type="dxa"/>
            <w:tcBorders>
              <w:top w:val="single" w:sz="6" w:space="0" w:color="000000"/>
              <w:left w:val="single" w:sz="6" w:space="0" w:color="000000"/>
              <w:bottom w:val="single" w:sz="6" w:space="0" w:color="000000"/>
              <w:right w:val="single" w:sz="24" w:space="0" w:color="000000"/>
            </w:tcBorders>
            <w:hideMark/>
          </w:tcPr>
          <w:p w14:paraId="6AD194E0" w14:textId="77777777" w:rsidR="00BE3518" w:rsidRDefault="00BE3518">
            <w:pPr>
              <w:pStyle w:val="Heading3"/>
              <w:numPr>
                <w:ilvl w:val="0"/>
                <w:numId w:val="0"/>
              </w:numPr>
              <w:spacing w:after="120" w:line="256" w:lineRule="auto"/>
              <w:rPr>
                <w:b/>
                <w:sz w:val="24"/>
                <w:szCs w:val="24"/>
              </w:rPr>
            </w:pPr>
            <w:r>
              <w:rPr>
                <w:sz w:val="24"/>
                <w:szCs w:val="24"/>
              </w:rPr>
              <w:t xml:space="preserve">No later than </w:t>
            </w:r>
            <w:r w:rsidRPr="00BE3518">
              <w:rPr>
                <w:color w:val="FF0000"/>
                <w:sz w:val="24"/>
                <w:szCs w:val="24"/>
              </w:rPr>
              <w:t>15/09/2025</w:t>
            </w:r>
          </w:p>
        </w:tc>
      </w:tr>
      <w:tr w:rsidR="00BE3518" w14:paraId="34099AA1" w14:textId="77777777" w:rsidTr="00BE3518">
        <w:tc>
          <w:tcPr>
            <w:tcW w:w="2671" w:type="dxa"/>
            <w:tcBorders>
              <w:top w:val="single" w:sz="6" w:space="0" w:color="000000"/>
              <w:left w:val="single" w:sz="24" w:space="0" w:color="000000"/>
              <w:bottom w:val="single" w:sz="6" w:space="0" w:color="000000"/>
              <w:right w:val="single" w:sz="6" w:space="0" w:color="000000"/>
            </w:tcBorders>
            <w:vAlign w:val="center"/>
            <w:hideMark/>
          </w:tcPr>
          <w:p w14:paraId="653A706A" w14:textId="77777777" w:rsidR="00BE3518" w:rsidRDefault="00BE3518">
            <w:pPr>
              <w:pStyle w:val="Heading3"/>
              <w:numPr>
                <w:ilvl w:val="0"/>
                <w:numId w:val="0"/>
              </w:numPr>
              <w:spacing w:after="120" w:line="256" w:lineRule="auto"/>
              <w:rPr>
                <w:b/>
                <w:sz w:val="24"/>
                <w:szCs w:val="24"/>
              </w:rPr>
            </w:pPr>
            <w:r>
              <w:rPr>
                <w:sz w:val="24"/>
                <w:szCs w:val="24"/>
              </w:rPr>
              <w:t>5</w:t>
            </w:r>
          </w:p>
        </w:tc>
        <w:tc>
          <w:tcPr>
            <w:tcW w:w="3947" w:type="dxa"/>
            <w:tcBorders>
              <w:top w:val="single" w:sz="6" w:space="0" w:color="000000"/>
              <w:left w:val="single" w:sz="6" w:space="0" w:color="000000"/>
              <w:bottom w:val="single" w:sz="6" w:space="0" w:color="000000"/>
              <w:right w:val="single" w:sz="6" w:space="0" w:color="000000"/>
            </w:tcBorders>
            <w:vAlign w:val="center"/>
            <w:hideMark/>
          </w:tcPr>
          <w:p w14:paraId="0DF78CA5" w14:textId="77777777" w:rsidR="00BE3518" w:rsidRDefault="00BE3518">
            <w:pPr>
              <w:pStyle w:val="Heading3"/>
              <w:numPr>
                <w:ilvl w:val="0"/>
                <w:numId w:val="0"/>
              </w:numPr>
              <w:spacing w:after="120" w:line="256" w:lineRule="auto"/>
              <w:rPr>
                <w:b/>
                <w:sz w:val="24"/>
                <w:szCs w:val="24"/>
              </w:rPr>
            </w:pPr>
            <w:r>
              <w:rPr>
                <w:sz w:val="24"/>
                <w:szCs w:val="24"/>
              </w:rPr>
              <w:t>Draft of final report</w:t>
            </w:r>
          </w:p>
        </w:tc>
        <w:tc>
          <w:tcPr>
            <w:tcW w:w="3947" w:type="dxa"/>
            <w:tcBorders>
              <w:top w:val="single" w:sz="6" w:space="0" w:color="000000"/>
              <w:left w:val="single" w:sz="6" w:space="0" w:color="000000"/>
              <w:bottom w:val="single" w:sz="6" w:space="0" w:color="000000"/>
              <w:right w:val="single" w:sz="24" w:space="0" w:color="000000"/>
            </w:tcBorders>
            <w:hideMark/>
          </w:tcPr>
          <w:p w14:paraId="6CDB4C43" w14:textId="77777777" w:rsidR="00BE3518" w:rsidRDefault="00BE3518">
            <w:pPr>
              <w:pStyle w:val="Heading3"/>
              <w:numPr>
                <w:ilvl w:val="0"/>
                <w:numId w:val="0"/>
              </w:numPr>
              <w:spacing w:after="120" w:line="256" w:lineRule="auto"/>
              <w:rPr>
                <w:b/>
                <w:sz w:val="24"/>
                <w:szCs w:val="24"/>
              </w:rPr>
            </w:pPr>
            <w:r>
              <w:rPr>
                <w:sz w:val="24"/>
                <w:szCs w:val="24"/>
              </w:rPr>
              <w:t xml:space="preserve">No later than </w:t>
            </w:r>
            <w:r w:rsidRPr="00BE3518">
              <w:rPr>
                <w:color w:val="FF0000"/>
                <w:sz w:val="24"/>
                <w:szCs w:val="24"/>
              </w:rPr>
              <w:t>14/10/2025</w:t>
            </w:r>
          </w:p>
        </w:tc>
      </w:tr>
      <w:tr w:rsidR="00BE3518" w14:paraId="7F372F3F" w14:textId="77777777" w:rsidTr="00BE3518">
        <w:tc>
          <w:tcPr>
            <w:tcW w:w="2671" w:type="dxa"/>
            <w:tcBorders>
              <w:top w:val="single" w:sz="6" w:space="0" w:color="000000"/>
              <w:left w:val="single" w:sz="24" w:space="0" w:color="000000"/>
              <w:bottom w:val="single" w:sz="6" w:space="0" w:color="000000"/>
              <w:right w:val="single" w:sz="6" w:space="0" w:color="000000"/>
            </w:tcBorders>
            <w:vAlign w:val="center"/>
            <w:hideMark/>
          </w:tcPr>
          <w:p w14:paraId="6F7DE8BA" w14:textId="77777777" w:rsidR="00BE3518" w:rsidRDefault="00BE3518">
            <w:pPr>
              <w:pStyle w:val="Heading3"/>
              <w:numPr>
                <w:ilvl w:val="0"/>
                <w:numId w:val="0"/>
              </w:numPr>
              <w:spacing w:after="120" w:line="256" w:lineRule="auto"/>
              <w:rPr>
                <w:b/>
                <w:sz w:val="24"/>
                <w:szCs w:val="24"/>
              </w:rPr>
            </w:pPr>
            <w:r>
              <w:rPr>
                <w:sz w:val="24"/>
                <w:szCs w:val="24"/>
              </w:rPr>
              <w:t>6</w:t>
            </w:r>
          </w:p>
        </w:tc>
        <w:tc>
          <w:tcPr>
            <w:tcW w:w="3947" w:type="dxa"/>
            <w:tcBorders>
              <w:top w:val="single" w:sz="6" w:space="0" w:color="000000"/>
              <w:left w:val="single" w:sz="6" w:space="0" w:color="000000"/>
              <w:bottom w:val="single" w:sz="6" w:space="0" w:color="000000"/>
              <w:right w:val="single" w:sz="6" w:space="0" w:color="000000"/>
            </w:tcBorders>
            <w:vAlign w:val="center"/>
            <w:hideMark/>
          </w:tcPr>
          <w:p w14:paraId="4C562A65" w14:textId="77777777" w:rsidR="00BE3518" w:rsidRDefault="00BE3518">
            <w:pPr>
              <w:pStyle w:val="Heading3"/>
              <w:numPr>
                <w:ilvl w:val="0"/>
                <w:numId w:val="0"/>
              </w:numPr>
              <w:spacing w:after="120" w:line="256" w:lineRule="auto"/>
              <w:rPr>
                <w:b/>
                <w:sz w:val="24"/>
                <w:szCs w:val="24"/>
              </w:rPr>
            </w:pPr>
            <w:r>
              <w:rPr>
                <w:sz w:val="24"/>
                <w:szCs w:val="24"/>
              </w:rPr>
              <w:t>Final report (signed off by Authority)</w:t>
            </w:r>
          </w:p>
        </w:tc>
        <w:tc>
          <w:tcPr>
            <w:tcW w:w="3947" w:type="dxa"/>
            <w:tcBorders>
              <w:top w:val="single" w:sz="6" w:space="0" w:color="000000"/>
              <w:left w:val="single" w:sz="6" w:space="0" w:color="000000"/>
              <w:bottom w:val="single" w:sz="6" w:space="0" w:color="000000"/>
              <w:right w:val="single" w:sz="24" w:space="0" w:color="000000"/>
            </w:tcBorders>
            <w:hideMark/>
          </w:tcPr>
          <w:p w14:paraId="20A5443A" w14:textId="77777777" w:rsidR="00BE3518" w:rsidRDefault="00BE3518">
            <w:pPr>
              <w:pStyle w:val="Heading3"/>
              <w:numPr>
                <w:ilvl w:val="0"/>
                <w:numId w:val="0"/>
              </w:numPr>
              <w:spacing w:after="120" w:line="256" w:lineRule="auto"/>
              <w:rPr>
                <w:b/>
                <w:sz w:val="24"/>
                <w:szCs w:val="24"/>
              </w:rPr>
            </w:pPr>
            <w:r>
              <w:rPr>
                <w:sz w:val="24"/>
                <w:szCs w:val="24"/>
              </w:rPr>
              <w:t xml:space="preserve">No later than </w:t>
            </w:r>
            <w:r w:rsidRPr="00BE3518">
              <w:rPr>
                <w:color w:val="FF0000"/>
                <w:sz w:val="24"/>
                <w:szCs w:val="24"/>
              </w:rPr>
              <w:t>14/11/2025</w:t>
            </w:r>
          </w:p>
        </w:tc>
      </w:tr>
      <w:tr w:rsidR="00BE3518" w14:paraId="655516C4" w14:textId="77777777" w:rsidTr="00BE3518">
        <w:tc>
          <w:tcPr>
            <w:tcW w:w="2671" w:type="dxa"/>
            <w:tcBorders>
              <w:top w:val="single" w:sz="6" w:space="0" w:color="000000"/>
              <w:left w:val="single" w:sz="24" w:space="0" w:color="000000"/>
              <w:bottom w:val="single" w:sz="24" w:space="0" w:color="000000"/>
              <w:right w:val="single" w:sz="6" w:space="0" w:color="000000"/>
            </w:tcBorders>
            <w:vAlign w:val="center"/>
            <w:hideMark/>
          </w:tcPr>
          <w:p w14:paraId="031C7D59" w14:textId="77777777" w:rsidR="00BE3518" w:rsidRDefault="00BE3518">
            <w:pPr>
              <w:pStyle w:val="Heading3"/>
              <w:numPr>
                <w:ilvl w:val="0"/>
                <w:numId w:val="0"/>
              </w:numPr>
              <w:spacing w:after="120" w:line="256" w:lineRule="auto"/>
              <w:rPr>
                <w:b/>
                <w:sz w:val="24"/>
                <w:szCs w:val="24"/>
              </w:rPr>
            </w:pPr>
            <w:r>
              <w:rPr>
                <w:sz w:val="24"/>
                <w:szCs w:val="24"/>
              </w:rPr>
              <w:t>7</w:t>
            </w:r>
          </w:p>
        </w:tc>
        <w:tc>
          <w:tcPr>
            <w:tcW w:w="3947" w:type="dxa"/>
            <w:tcBorders>
              <w:top w:val="single" w:sz="6" w:space="0" w:color="000000"/>
              <w:left w:val="single" w:sz="6" w:space="0" w:color="000000"/>
              <w:bottom w:val="single" w:sz="24" w:space="0" w:color="000000"/>
              <w:right w:val="single" w:sz="6" w:space="0" w:color="000000"/>
            </w:tcBorders>
            <w:vAlign w:val="center"/>
            <w:hideMark/>
          </w:tcPr>
          <w:p w14:paraId="770183BD" w14:textId="77777777" w:rsidR="00BE3518" w:rsidRDefault="00BE3518">
            <w:pPr>
              <w:pStyle w:val="Heading3"/>
              <w:numPr>
                <w:ilvl w:val="0"/>
                <w:numId w:val="0"/>
              </w:numPr>
              <w:spacing w:after="120" w:line="256" w:lineRule="auto"/>
              <w:rPr>
                <w:b/>
                <w:sz w:val="24"/>
                <w:szCs w:val="24"/>
              </w:rPr>
            </w:pPr>
            <w:r>
              <w:rPr>
                <w:sz w:val="24"/>
                <w:szCs w:val="24"/>
              </w:rPr>
              <w:t>Final training package (signed by Authority)</w:t>
            </w:r>
          </w:p>
        </w:tc>
        <w:tc>
          <w:tcPr>
            <w:tcW w:w="3947" w:type="dxa"/>
            <w:tcBorders>
              <w:top w:val="single" w:sz="6" w:space="0" w:color="000000"/>
              <w:left w:val="single" w:sz="6" w:space="0" w:color="000000"/>
              <w:bottom w:val="single" w:sz="24" w:space="0" w:color="000000"/>
              <w:right w:val="single" w:sz="24" w:space="0" w:color="000000"/>
            </w:tcBorders>
            <w:hideMark/>
          </w:tcPr>
          <w:p w14:paraId="1027E3A6" w14:textId="77777777" w:rsidR="00BE3518" w:rsidRDefault="00BE3518">
            <w:pPr>
              <w:pStyle w:val="Heading3"/>
              <w:numPr>
                <w:ilvl w:val="0"/>
                <w:numId w:val="0"/>
              </w:numPr>
              <w:spacing w:after="120" w:line="256" w:lineRule="auto"/>
              <w:rPr>
                <w:b/>
                <w:sz w:val="24"/>
                <w:szCs w:val="24"/>
              </w:rPr>
            </w:pPr>
            <w:r w:rsidRPr="00BE3518">
              <w:rPr>
                <w:color w:val="FF0000"/>
                <w:sz w:val="24"/>
                <w:szCs w:val="24"/>
              </w:rPr>
              <w:t>December 2025</w:t>
            </w:r>
          </w:p>
        </w:tc>
      </w:tr>
    </w:tbl>
    <w:p w14:paraId="36E927D4" w14:textId="77777777" w:rsidR="00BE3518" w:rsidRPr="00BE3518" w:rsidRDefault="00BE3518" w:rsidP="00BE3518">
      <w:pPr>
        <w:pStyle w:val="Heading2"/>
        <w:numPr>
          <w:ilvl w:val="0"/>
          <w:numId w:val="0"/>
        </w:numPr>
        <w:pBdr>
          <w:top w:val="nil"/>
          <w:left w:val="nil"/>
          <w:bottom w:val="nil"/>
          <w:right w:val="nil"/>
          <w:between w:val="nil"/>
        </w:pBdr>
      </w:pPr>
    </w:p>
    <w:p w14:paraId="6688A75F" w14:textId="77777777" w:rsidR="003B0E73" w:rsidRDefault="00017256">
      <w:pPr>
        <w:pStyle w:val="Heading1"/>
        <w:numPr>
          <w:ilvl w:val="0"/>
          <w:numId w:val="4"/>
        </w:numPr>
        <w:rPr>
          <w:sz w:val="32"/>
          <w:szCs w:val="32"/>
        </w:rPr>
      </w:pPr>
      <w:bookmarkStart w:id="122" w:name="_heading=h.26in1rg" w:colFirst="0" w:colLast="0"/>
      <w:bookmarkEnd w:id="122"/>
      <w:r>
        <w:rPr>
          <w:sz w:val="32"/>
          <w:szCs w:val="32"/>
        </w:rPr>
        <w:t>MANAGEMENT INFORMATION/REPORTING</w:t>
      </w:r>
    </w:p>
    <w:p w14:paraId="2389D0DD" w14:textId="77777777" w:rsidR="003B0E73" w:rsidRDefault="00017256">
      <w:pPr>
        <w:pStyle w:val="Heading2"/>
        <w:numPr>
          <w:ilvl w:val="1"/>
          <w:numId w:val="4"/>
        </w:numPr>
        <w:pBdr>
          <w:top w:val="nil"/>
          <w:left w:val="nil"/>
          <w:bottom w:val="nil"/>
          <w:right w:val="nil"/>
          <w:between w:val="nil"/>
        </w:pBdr>
      </w:pPr>
      <w:r>
        <w:rPr>
          <w:sz w:val="24"/>
          <w:szCs w:val="24"/>
        </w:rPr>
        <w:t>The Supplier must have one lead project manager responsible for all components of the research. The Project Manager for the Contracting Authority will be James Probert, Head of Intersectional Analysis at the OEO.</w:t>
      </w:r>
    </w:p>
    <w:p w14:paraId="791E7098" w14:textId="77777777" w:rsidR="003B0E73" w:rsidRDefault="00017256">
      <w:pPr>
        <w:pStyle w:val="Heading2"/>
        <w:numPr>
          <w:ilvl w:val="1"/>
          <w:numId w:val="4"/>
        </w:numPr>
        <w:pBdr>
          <w:top w:val="nil"/>
          <w:left w:val="nil"/>
          <w:bottom w:val="nil"/>
          <w:right w:val="nil"/>
          <w:between w:val="nil"/>
        </w:pBdr>
      </w:pPr>
      <w:r>
        <w:rPr>
          <w:sz w:val="24"/>
          <w:szCs w:val="24"/>
        </w:rPr>
        <w:t>The Contracting Authority’s research project manager and/or team will provide advice and guidance on any issues during the course of the project.  Where comments or input are required from the Contracting Authority, the Supplier should allow sufficient time for turnaround and give advance notice where possible.  As a general guide the Contracting Authority will aim to turnaround minor requests within one week and major requests (</w:t>
      </w:r>
      <w:proofErr w:type="gramStart"/>
      <w:r>
        <w:rPr>
          <w:sz w:val="24"/>
          <w:szCs w:val="24"/>
        </w:rPr>
        <w:t>e.g.</w:t>
      </w:r>
      <w:proofErr w:type="gramEnd"/>
      <w:r>
        <w:rPr>
          <w:sz w:val="24"/>
          <w:szCs w:val="24"/>
        </w:rPr>
        <w:t xml:space="preserve"> commenting on drafts of reports, or checking data outputs) within two weeks. The Supplier should factor these clearance periods into project timings and indicate clearly in any project timetable when such outputs will be submitted for clearance.</w:t>
      </w:r>
    </w:p>
    <w:p w14:paraId="1FD26DE8" w14:textId="77777777" w:rsidR="003B0E73" w:rsidRDefault="00017256">
      <w:pPr>
        <w:pStyle w:val="Heading2"/>
        <w:numPr>
          <w:ilvl w:val="1"/>
          <w:numId w:val="4"/>
        </w:numPr>
        <w:pBdr>
          <w:top w:val="nil"/>
          <w:left w:val="nil"/>
          <w:bottom w:val="nil"/>
          <w:right w:val="nil"/>
          <w:between w:val="nil"/>
        </w:pBdr>
      </w:pPr>
      <w:r>
        <w:rPr>
          <w:sz w:val="24"/>
          <w:szCs w:val="24"/>
        </w:rPr>
        <w:t>It is expected that project leads for the Contracting Authority and Supplier, plus additional team members as required, will hold regular online progress meetings with the Department's project manager. The frequency of these meetings will vary over the course of the project, however during the project development phase, we expect these meetings to be fortnightly. Frequency will also be dependent on assessment of emerging risk. Expenses for such meetings must be included in the core contract price. These meetings will be accompanied by regular written project updates.</w:t>
      </w:r>
    </w:p>
    <w:p w14:paraId="66CF2C54" w14:textId="77777777" w:rsidR="003B0E73" w:rsidRDefault="00017256">
      <w:pPr>
        <w:pStyle w:val="Heading2"/>
        <w:numPr>
          <w:ilvl w:val="1"/>
          <w:numId w:val="4"/>
        </w:numPr>
        <w:pBdr>
          <w:top w:val="nil"/>
          <w:left w:val="nil"/>
          <w:bottom w:val="nil"/>
          <w:right w:val="nil"/>
          <w:between w:val="nil"/>
        </w:pBdr>
      </w:pPr>
      <w:r>
        <w:rPr>
          <w:sz w:val="24"/>
          <w:szCs w:val="24"/>
        </w:rPr>
        <w:lastRenderedPageBreak/>
        <w:t>As part of the management of the research the Supplier will be required to produce and submit the following management information to the Contracting Authority:</w:t>
      </w:r>
    </w:p>
    <w:p w14:paraId="34E4848F" w14:textId="77777777" w:rsidR="003B0E73" w:rsidRDefault="00017256">
      <w:pPr>
        <w:pStyle w:val="Heading2"/>
        <w:numPr>
          <w:ilvl w:val="0"/>
          <w:numId w:val="1"/>
        </w:numPr>
        <w:pBdr>
          <w:top w:val="nil"/>
          <w:left w:val="nil"/>
          <w:bottom w:val="nil"/>
          <w:right w:val="nil"/>
          <w:between w:val="nil"/>
        </w:pBdr>
        <w:ind w:left="1417" w:hanging="283"/>
        <w:rPr>
          <w:sz w:val="24"/>
          <w:szCs w:val="24"/>
        </w:rPr>
      </w:pPr>
      <w:r>
        <w:rPr>
          <w:sz w:val="24"/>
          <w:szCs w:val="24"/>
        </w:rPr>
        <w:t>Brief monthly progress updates – to update on progress towards milestones, update the Authority on the latest findings, and management of risks arising.  The format of these reports should be agreed with the Contracting Authority and submitted in advance of the teleconference.</w:t>
      </w:r>
    </w:p>
    <w:p w14:paraId="3DBE26F5" w14:textId="77777777" w:rsidR="003B0E73" w:rsidRDefault="00017256">
      <w:pPr>
        <w:pStyle w:val="Heading2"/>
        <w:numPr>
          <w:ilvl w:val="0"/>
          <w:numId w:val="1"/>
        </w:numPr>
        <w:pBdr>
          <w:top w:val="nil"/>
          <w:left w:val="nil"/>
          <w:bottom w:val="nil"/>
          <w:right w:val="nil"/>
          <w:between w:val="nil"/>
        </w:pBdr>
        <w:ind w:left="1417" w:hanging="283"/>
        <w:rPr>
          <w:sz w:val="24"/>
          <w:szCs w:val="24"/>
        </w:rPr>
      </w:pPr>
      <w:r>
        <w:rPr>
          <w:sz w:val="24"/>
          <w:szCs w:val="24"/>
        </w:rPr>
        <w:t>Monthly contract review updates - to review adherence to objectives and milestones, and consider any course correction required.</w:t>
      </w:r>
    </w:p>
    <w:p w14:paraId="42E96A02" w14:textId="77777777" w:rsidR="003B0E73" w:rsidRDefault="00017256">
      <w:pPr>
        <w:pStyle w:val="Heading1"/>
        <w:numPr>
          <w:ilvl w:val="0"/>
          <w:numId w:val="4"/>
        </w:numPr>
        <w:spacing w:after="120"/>
        <w:ind w:left="709" w:hanging="709"/>
        <w:rPr>
          <w:sz w:val="32"/>
          <w:szCs w:val="32"/>
        </w:rPr>
      </w:pPr>
      <w:bookmarkStart w:id="123" w:name="_heading=h.lnxbz9" w:colFirst="0" w:colLast="0"/>
      <w:bookmarkEnd w:id="123"/>
      <w:r>
        <w:rPr>
          <w:sz w:val="32"/>
          <w:szCs w:val="32"/>
        </w:rPr>
        <w:t>volumes</w:t>
      </w:r>
    </w:p>
    <w:p w14:paraId="0F94A2E0" w14:textId="77777777" w:rsidR="003B0E73" w:rsidRDefault="00017256">
      <w:pPr>
        <w:pStyle w:val="Heading2"/>
        <w:numPr>
          <w:ilvl w:val="1"/>
          <w:numId w:val="4"/>
        </w:numPr>
      </w:pPr>
      <w:r>
        <w:rPr>
          <w:sz w:val="24"/>
          <w:szCs w:val="24"/>
        </w:rPr>
        <w:t>Not applicable</w:t>
      </w:r>
    </w:p>
    <w:p w14:paraId="54391E2D" w14:textId="77777777" w:rsidR="003B0E73" w:rsidRDefault="00017256">
      <w:pPr>
        <w:pStyle w:val="Heading1"/>
        <w:numPr>
          <w:ilvl w:val="0"/>
          <w:numId w:val="4"/>
        </w:numPr>
        <w:spacing w:after="120"/>
        <w:ind w:left="709" w:hanging="709"/>
        <w:rPr>
          <w:sz w:val="32"/>
          <w:szCs w:val="32"/>
        </w:rPr>
      </w:pPr>
      <w:bookmarkStart w:id="124" w:name="_heading=h.35nkun2" w:colFirst="0" w:colLast="0"/>
      <w:bookmarkEnd w:id="124"/>
      <w:r>
        <w:rPr>
          <w:sz w:val="32"/>
          <w:szCs w:val="32"/>
        </w:rPr>
        <w:t>continuous improvement</w:t>
      </w:r>
    </w:p>
    <w:p w14:paraId="2E478408" w14:textId="77777777" w:rsidR="003B0E73" w:rsidRDefault="00017256">
      <w:pPr>
        <w:pStyle w:val="Heading2"/>
        <w:numPr>
          <w:ilvl w:val="1"/>
          <w:numId w:val="4"/>
        </w:numPr>
        <w:spacing w:after="120"/>
        <w:ind w:left="709" w:hanging="709"/>
      </w:pPr>
      <w:r>
        <w:rPr>
          <w:sz w:val="24"/>
          <w:szCs w:val="24"/>
        </w:rPr>
        <w:t>The Supplier will be expected to continually improve the way in which the required Services are to be delivered throughout the Contract duration.</w:t>
      </w:r>
    </w:p>
    <w:p w14:paraId="08A0FF07" w14:textId="77777777" w:rsidR="003B0E73" w:rsidRDefault="00017256">
      <w:pPr>
        <w:pStyle w:val="Heading2"/>
        <w:numPr>
          <w:ilvl w:val="1"/>
          <w:numId w:val="4"/>
        </w:numPr>
        <w:spacing w:after="120"/>
        <w:ind w:left="709" w:hanging="709"/>
      </w:pPr>
      <w:r>
        <w:rPr>
          <w:sz w:val="24"/>
          <w:szCs w:val="24"/>
        </w:rPr>
        <w:t xml:space="preserve">The Supplier should present new ways of working to the Authority during monthly Contract review meetings. </w:t>
      </w:r>
    </w:p>
    <w:p w14:paraId="23645409" w14:textId="77777777" w:rsidR="003B0E73" w:rsidRDefault="00017256">
      <w:pPr>
        <w:pStyle w:val="Heading2"/>
        <w:numPr>
          <w:ilvl w:val="1"/>
          <w:numId w:val="4"/>
        </w:numPr>
        <w:spacing w:after="120"/>
        <w:ind w:left="709" w:hanging="709"/>
      </w:pPr>
      <w:r>
        <w:rPr>
          <w:sz w:val="24"/>
          <w:szCs w:val="24"/>
        </w:rPr>
        <w:t>Changes to the way in which the Services are to be delivered must be brought to the Authority’s attention and agreed prior to any changes being implemented.</w:t>
      </w:r>
    </w:p>
    <w:p w14:paraId="5AF8A25A" w14:textId="77777777" w:rsidR="003B0E73" w:rsidRDefault="00017256">
      <w:pPr>
        <w:pStyle w:val="Heading1"/>
        <w:numPr>
          <w:ilvl w:val="0"/>
          <w:numId w:val="4"/>
        </w:numPr>
        <w:rPr>
          <w:sz w:val="32"/>
          <w:szCs w:val="32"/>
        </w:rPr>
      </w:pPr>
      <w:bookmarkStart w:id="125" w:name="_heading=h.1ksv4uv" w:colFirst="0" w:colLast="0"/>
      <w:bookmarkEnd w:id="125"/>
      <w:r>
        <w:rPr>
          <w:sz w:val="32"/>
          <w:szCs w:val="32"/>
        </w:rPr>
        <w:t>Sustainability</w:t>
      </w:r>
    </w:p>
    <w:p w14:paraId="0F7942AC" w14:textId="77777777" w:rsidR="003B0E73" w:rsidRDefault="00017256">
      <w:pPr>
        <w:pStyle w:val="Heading2"/>
        <w:numPr>
          <w:ilvl w:val="1"/>
          <w:numId w:val="4"/>
        </w:numPr>
      </w:pPr>
      <w:bookmarkStart w:id="126" w:name="_heading=h.ulb5l7bsvm4g" w:colFirst="0" w:colLast="0"/>
      <w:bookmarkEnd w:id="126"/>
      <w:r>
        <w:rPr>
          <w:sz w:val="24"/>
          <w:szCs w:val="24"/>
        </w:rPr>
        <w:t>All meetings to be held virtually, unless specifically requested by the Contracting Authority.</w:t>
      </w:r>
    </w:p>
    <w:p w14:paraId="39FF6A25" w14:textId="77777777" w:rsidR="003B0E73" w:rsidRDefault="00017256">
      <w:pPr>
        <w:pStyle w:val="Heading2"/>
        <w:numPr>
          <w:ilvl w:val="1"/>
          <w:numId w:val="4"/>
        </w:numPr>
      </w:pPr>
      <w:bookmarkStart w:id="127" w:name="_heading=h.b0hljf1brtyp" w:colFirst="0" w:colLast="0"/>
      <w:bookmarkEnd w:id="127"/>
      <w:r>
        <w:rPr>
          <w:sz w:val="24"/>
          <w:szCs w:val="24"/>
        </w:rPr>
        <w:t>The Supplier should meet the social value commitment by ensuring that effective measures to deliver any of the following benefits through the contract are made:</w:t>
      </w:r>
    </w:p>
    <w:p w14:paraId="1697E6FC" w14:textId="77777777" w:rsidR="003B0E73" w:rsidRDefault="00017256">
      <w:pPr>
        <w:pStyle w:val="Heading2"/>
        <w:numPr>
          <w:ilvl w:val="0"/>
          <w:numId w:val="1"/>
        </w:numPr>
        <w:pBdr>
          <w:top w:val="nil"/>
          <w:left w:val="nil"/>
          <w:bottom w:val="nil"/>
          <w:right w:val="nil"/>
          <w:between w:val="nil"/>
        </w:pBdr>
        <w:ind w:left="1417" w:hanging="283"/>
        <w:rPr>
          <w:sz w:val="24"/>
          <w:szCs w:val="24"/>
        </w:rPr>
      </w:pPr>
      <w:r>
        <w:rPr>
          <w:sz w:val="24"/>
          <w:szCs w:val="24"/>
        </w:rPr>
        <w:t>Demonstrate action to increase the representation of disadvantaged people in the contract workforce.</w:t>
      </w:r>
    </w:p>
    <w:p w14:paraId="5C850758" w14:textId="77777777" w:rsidR="003B0E73" w:rsidRDefault="00017256">
      <w:pPr>
        <w:pStyle w:val="Heading2"/>
        <w:numPr>
          <w:ilvl w:val="0"/>
          <w:numId w:val="1"/>
        </w:numPr>
        <w:pBdr>
          <w:top w:val="nil"/>
          <w:left w:val="nil"/>
          <w:bottom w:val="nil"/>
          <w:right w:val="nil"/>
          <w:between w:val="nil"/>
        </w:pBdr>
        <w:ind w:left="1417" w:hanging="283"/>
        <w:rPr>
          <w:sz w:val="24"/>
          <w:szCs w:val="24"/>
        </w:rPr>
      </w:pPr>
      <w:r>
        <w:rPr>
          <w:sz w:val="24"/>
          <w:szCs w:val="24"/>
        </w:rPr>
        <w:t>Support disadvantaged people in developing new skills relevant to the contract, including through training schemes that result in recognised qualifications.</w:t>
      </w:r>
    </w:p>
    <w:p w14:paraId="7677A4D7" w14:textId="77777777" w:rsidR="003B0E73" w:rsidRDefault="00017256">
      <w:pPr>
        <w:pStyle w:val="Heading2"/>
        <w:numPr>
          <w:ilvl w:val="0"/>
          <w:numId w:val="1"/>
        </w:numPr>
        <w:pBdr>
          <w:top w:val="nil"/>
          <w:left w:val="nil"/>
          <w:bottom w:val="nil"/>
          <w:right w:val="nil"/>
          <w:between w:val="nil"/>
        </w:pBdr>
        <w:ind w:left="1417" w:hanging="283"/>
        <w:rPr>
          <w:sz w:val="24"/>
          <w:szCs w:val="24"/>
        </w:rPr>
      </w:pPr>
      <w:r>
        <w:rPr>
          <w:sz w:val="24"/>
          <w:szCs w:val="24"/>
        </w:rPr>
        <w:t>Demonstrate action to identify and tackle inequality in employment, skills and pay in the contract workforce.</w:t>
      </w:r>
    </w:p>
    <w:p w14:paraId="66FBBF31" w14:textId="77777777" w:rsidR="003B0E73" w:rsidRDefault="00017256">
      <w:pPr>
        <w:pStyle w:val="Heading2"/>
        <w:numPr>
          <w:ilvl w:val="0"/>
          <w:numId w:val="1"/>
        </w:numPr>
        <w:pBdr>
          <w:top w:val="nil"/>
          <w:left w:val="nil"/>
          <w:bottom w:val="nil"/>
          <w:right w:val="nil"/>
          <w:between w:val="nil"/>
        </w:pBdr>
        <w:ind w:left="1417" w:hanging="283"/>
        <w:rPr>
          <w:sz w:val="24"/>
          <w:szCs w:val="24"/>
        </w:rPr>
      </w:pPr>
      <w:r>
        <w:rPr>
          <w:sz w:val="24"/>
          <w:szCs w:val="24"/>
        </w:rPr>
        <w:lastRenderedPageBreak/>
        <w:t>Support in-work progression to help people, including those from disadvantaged or minority groups, to move into higher paid work by developing new skills relevant to the contract.</w:t>
      </w:r>
    </w:p>
    <w:p w14:paraId="62E2BB00" w14:textId="77777777" w:rsidR="003B0E73" w:rsidRDefault="00017256">
      <w:pPr>
        <w:pStyle w:val="Heading1"/>
        <w:numPr>
          <w:ilvl w:val="0"/>
          <w:numId w:val="4"/>
        </w:numPr>
        <w:rPr>
          <w:sz w:val="32"/>
          <w:szCs w:val="32"/>
        </w:rPr>
      </w:pPr>
      <w:bookmarkStart w:id="128" w:name="_heading=h.44sinio" w:colFirst="0" w:colLast="0"/>
      <w:bookmarkEnd w:id="128"/>
      <w:r>
        <w:rPr>
          <w:sz w:val="32"/>
          <w:szCs w:val="32"/>
        </w:rPr>
        <w:t>QUALITY</w:t>
      </w:r>
    </w:p>
    <w:p w14:paraId="2F2CE709" w14:textId="77777777" w:rsidR="003B0E73" w:rsidRDefault="00017256">
      <w:pPr>
        <w:pStyle w:val="Heading2"/>
        <w:numPr>
          <w:ilvl w:val="1"/>
          <w:numId w:val="4"/>
        </w:numPr>
        <w:pBdr>
          <w:top w:val="nil"/>
          <w:left w:val="nil"/>
          <w:bottom w:val="nil"/>
          <w:right w:val="nil"/>
          <w:between w:val="nil"/>
        </w:pBdr>
      </w:pPr>
      <w:r>
        <w:rPr>
          <w:sz w:val="24"/>
          <w:szCs w:val="24"/>
        </w:rPr>
        <w:t>The Department's contract manager will oversee and record quality assurance of the evaluators design, data collection process, and the reporting and analysis of findings. Where the quality assurance process identifies practices that do not meet the expected standard, or errors in analyses or reports, then the evaluator will need to make changes or correct errors to meet the necessary standards of quality. The evaluators’ considerations of contract will be met when all outputs have been successfully quality assured.</w:t>
      </w:r>
    </w:p>
    <w:p w14:paraId="68A81DA8" w14:textId="77777777" w:rsidR="003B0E73" w:rsidRDefault="00017256">
      <w:pPr>
        <w:pStyle w:val="Heading2"/>
        <w:numPr>
          <w:ilvl w:val="1"/>
          <w:numId w:val="4"/>
        </w:numPr>
        <w:pBdr>
          <w:top w:val="nil"/>
          <w:left w:val="nil"/>
          <w:bottom w:val="nil"/>
          <w:right w:val="nil"/>
          <w:between w:val="nil"/>
        </w:pBdr>
      </w:pPr>
      <w:r>
        <w:rPr>
          <w:sz w:val="24"/>
          <w:szCs w:val="24"/>
        </w:rPr>
        <w:t>The Contracting Authority will measure the quality of the Supplier’s delivery by:</w:t>
      </w:r>
    </w:p>
    <w:p w14:paraId="1486AA9F" w14:textId="77777777" w:rsidR="003B0E73" w:rsidRDefault="00017256">
      <w:pPr>
        <w:pStyle w:val="Heading2"/>
        <w:numPr>
          <w:ilvl w:val="2"/>
          <w:numId w:val="4"/>
        </w:numPr>
        <w:pBdr>
          <w:top w:val="nil"/>
          <w:left w:val="nil"/>
          <w:bottom w:val="nil"/>
          <w:right w:val="nil"/>
          <w:between w:val="nil"/>
        </w:pBdr>
        <w:rPr>
          <w:sz w:val="24"/>
          <w:szCs w:val="24"/>
        </w:rPr>
      </w:pPr>
      <w:r>
        <w:rPr>
          <w:b/>
          <w:sz w:val="24"/>
          <w:szCs w:val="24"/>
        </w:rPr>
        <w:t>Supplier experience and capability:</w:t>
      </w:r>
      <w:r>
        <w:rPr>
          <w:sz w:val="24"/>
          <w:szCs w:val="24"/>
        </w:rPr>
        <w:t xml:space="preserve"> the supplier will demonstrate excellent project management of delivering projects of similar size and scope, with awareness of risk and proposals for mitigation. Suppliers will also demonstrate experience of delivering research on sensitive topics with diverse field staff and using culturally sensitive practices.</w:t>
      </w:r>
    </w:p>
    <w:p w14:paraId="0D4C6185" w14:textId="77777777" w:rsidR="003B0E73" w:rsidRDefault="00017256">
      <w:pPr>
        <w:pStyle w:val="Heading2"/>
        <w:numPr>
          <w:ilvl w:val="2"/>
          <w:numId w:val="4"/>
        </w:numPr>
        <w:pBdr>
          <w:top w:val="nil"/>
          <w:left w:val="nil"/>
          <w:bottom w:val="nil"/>
          <w:right w:val="nil"/>
          <w:between w:val="nil"/>
        </w:pBdr>
        <w:rPr>
          <w:sz w:val="24"/>
          <w:szCs w:val="24"/>
        </w:rPr>
      </w:pPr>
      <w:r>
        <w:rPr>
          <w:b/>
          <w:sz w:val="24"/>
          <w:szCs w:val="24"/>
        </w:rPr>
        <w:t>Research design:</w:t>
      </w:r>
      <w:r>
        <w:rPr>
          <w:sz w:val="24"/>
          <w:szCs w:val="24"/>
        </w:rPr>
        <w:t xml:space="preserve"> the supplier will demonstrate an excellent approach to methodological rigour in qualitative research, ensuring appropriate representation in the sample, quality assurance processes and clear publication plans.</w:t>
      </w:r>
    </w:p>
    <w:p w14:paraId="4645D0EE" w14:textId="77777777" w:rsidR="003B0E73" w:rsidRDefault="00017256">
      <w:pPr>
        <w:pStyle w:val="Heading2"/>
        <w:numPr>
          <w:ilvl w:val="2"/>
          <w:numId w:val="4"/>
        </w:numPr>
        <w:pBdr>
          <w:top w:val="nil"/>
          <w:left w:val="nil"/>
          <w:bottom w:val="nil"/>
          <w:right w:val="nil"/>
          <w:between w:val="nil"/>
        </w:pBdr>
        <w:rPr>
          <w:sz w:val="24"/>
          <w:szCs w:val="24"/>
        </w:rPr>
      </w:pPr>
      <w:r>
        <w:rPr>
          <w:b/>
          <w:sz w:val="24"/>
          <w:szCs w:val="24"/>
        </w:rPr>
        <w:t>Project management, data security and ethics:</w:t>
      </w:r>
      <w:r>
        <w:rPr>
          <w:sz w:val="24"/>
          <w:szCs w:val="24"/>
        </w:rPr>
        <w:t xml:space="preserve"> the supplier will be able to meet key milestones and have excellent awareness of ethical issues and means of mitigation. They will also comply with all data security requirements.</w:t>
      </w:r>
    </w:p>
    <w:p w14:paraId="7F6D1B57" w14:textId="77777777" w:rsidR="003B0E73" w:rsidRDefault="00017256">
      <w:pPr>
        <w:pStyle w:val="Heading2"/>
        <w:numPr>
          <w:ilvl w:val="1"/>
          <w:numId w:val="4"/>
        </w:numPr>
        <w:pBdr>
          <w:top w:val="nil"/>
          <w:left w:val="nil"/>
          <w:bottom w:val="nil"/>
          <w:right w:val="nil"/>
          <w:between w:val="nil"/>
        </w:pBdr>
      </w:pPr>
      <w:r>
        <w:rPr>
          <w:sz w:val="24"/>
          <w:szCs w:val="24"/>
        </w:rPr>
        <w:t>The final report should be focused in terms of length (30-35 pages, excluding annexes) and include an executive summary and actionable insights. The report will incorporate the findings of the lived experience research to inform the final conclusions.</w:t>
      </w:r>
    </w:p>
    <w:p w14:paraId="17BED37E" w14:textId="77777777" w:rsidR="003B0E73" w:rsidRDefault="00017256">
      <w:pPr>
        <w:pStyle w:val="Heading2"/>
        <w:numPr>
          <w:ilvl w:val="1"/>
          <w:numId w:val="4"/>
        </w:numPr>
        <w:pBdr>
          <w:top w:val="nil"/>
          <w:left w:val="nil"/>
          <w:bottom w:val="nil"/>
          <w:right w:val="nil"/>
          <w:between w:val="nil"/>
        </w:pBdr>
      </w:pPr>
      <w:r>
        <w:rPr>
          <w:sz w:val="24"/>
          <w:szCs w:val="24"/>
        </w:rPr>
        <w:t>The Supplier is required to ensure that all data, analysis, the final report and annexes have been quality assured in line with the Aqua Book</w:t>
      </w:r>
      <w:r>
        <w:rPr>
          <w:sz w:val="24"/>
          <w:szCs w:val="24"/>
          <w:vertAlign w:val="superscript"/>
        </w:rPr>
        <w:footnoteReference w:id="24"/>
      </w:r>
      <w:r>
        <w:rPr>
          <w:sz w:val="24"/>
          <w:szCs w:val="24"/>
        </w:rPr>
        <w:t>. The Supplier is expected to provide the Contracting Authority with reasonable assurance that the work has been quality assured.</w:t>
      </w:r>
    </w:p>
    <w:p w14:paraId="0EC4380E" w14:textId="77777777" w:rsidR="003B0E73" w:rsidRDefault="00017256">
      <w:pPr>
        <w:pStyle w:val="Heading2"/>
        <w:numPr>
          <w:ilvl w:val="1"/>
          <w:numId w:val="4"/>
        </w:numPr>
        <w:pBdr>
          <w:top w:val="nil"/>
          <w:left w:val="nil"/>
          <w:bottom w:val="nil"/>
          <w:right w:val="nil"/>
          <w:between w:val="nil"/>
        </w:pBdr>
      </w:pPr>
      <w:r>
        <w:rPr>
          <w:sz w:val="24"/>
          <w:szCs w:val="24"/>
        </w:rPr>
        <w:lastRenderedPageBreak/>
        <w:t>All code should follow best practice for coding. It should be well structured, clearly annotated, and be easily used to carry out additional decomposition analysis.</w:t>
      </w:r>
    </w:p>
    <w:p w14:paraId="18A73C2B" w14:textId="77777777" w:rsidR="003B0E73" w:rsidRDefault="00017256">
      <w:pPr>
        <w:pStyle w:val="Heading2"/>
        <w:numPr>
          <w:ilvl w:val="1"/>
          <w:numId w:val="4"/>
        </w:numPr>
        <w:pBdr>
          <w:top w:val="nil"/>
          <w:left w:val="nil"/>
          <w:bottom w:val="nil"/>
          <w:right w:val="nil"/>
          <w:between w:val="nil"/>
        </w:pBdr>
      </w:pPr>
      <w:r>
        <w:rPr>
          <w:sz w:val="24"/>
          <w:szCs w:val="24"/>
        </w:rPr>
        <w:t>The final report (including annexes) should be accessible to a range of audiences. This should include using plain English and avoiding technical jargon where possible.</w:t>
      </w:r>
    </w:p>
    <w:p w14:paraId="62BBF13F" w14:textId="77777777" w:rsidR="003B0E73" w:rsidRDefault="00017256">
      <w:pPr>
        <w:pStyle w:val="Heading2"/>
        <w:numPr>
          <w:ilvl w:val="1"/>
          <w:numId w:val="4"/>
        </w:numPr>
        <w:pBdr>
          <w:top w:val="nil"/>
          <w:left w:val="nil"/>
          <w:bottom w:val="nil"/>
          <w:right w:val="nil"/>
          <w:between w:val="nil"/>
        </w:pBdr>
      </w:pPr>
      <w:r>
        <w:rPr>
          <w:sz w:val="24"/>
          <w:szCs w:val="24"/>
        </w:rPr>
        <w:t>Provision of alternative versions including easy read, large print and BSL should also be considered. The Authority is open to the Supplier suggesting alternative ways of presenting the findings.</w:t>
      </w:r>
    </w:p>
    <w:p w14:paraId="5F22DD7E" w14:textId="77777777" w:rsidR="003B0E73" w:rsidRDefault="00017256">
      <w:pPr>
        <w:pStyle w:val="Heading2"/>
        <w:numPr>
          <w:ilvl w:val="1"/>
          <w:numId w:val="4"/>
        </w:numPr>
        <w:pBdr>
          <w:top w:val="nil"/>
          <w:left w:val="nil"/>
          <w:bottom w:val="nil"/>
          <w:right w:val="nil"/>
          <w:between w:val="nil"/>
        </w:pBdr>
      </w:pPr>
      <w:r>
        <w:rPr>
          <w:sz w:val="24"/>
          <w:szCs w:val="24"/>
        </w:rPr>
        <w:t>The final reports will need to incorporate some aspects of the Authority’s style guides. This includes, but is not limited to: accessibility guidance</w:t>
      </w:r>
      <w:r>
        <w:rPr>
          <w:sz w:val="24"/>
          <w:szCs w:val="24"/>
          <w:vertAlign w:val="superscript"/>
        </w:rPr>
        <w:footnoteReference w:id="25"/>
      </w:r>
      <w:r>
        <w:rPr>
          <w:sz w:val="24"/>
          <w:szCs w:val="24"/>
        </w:rPr>
        <w:t>.</w:t>
      </w:r>
    </w:p>
    <w:p w14:paraId="57982248" w14:textId="77777777" w:rsidR="003B0E73" w:rsidRDefault="00017256">
      <w:pPr>
        <w:pStyle w:val="Heading2"/>
        <w:numPr>
          <w:ilvl w:val="1"/>
          <w:numId w:val="4"/>
        </w:numPr>
        <w:pBdr>
          <w:top w:val="nil"/>
          <w:left w:val="nil"/>
          <w:bottom w:val="nil"/>
          <w:right w:val="nil"/>
          <w:between w:val="nil"/>
        </w:pBdr>
      </w:pPr>
      <w:r>
        <w:rPr>
          <w:sz w:val="24"/>
          <w:szCs w:val="24"/>
        </w:rPr>
        <w:t>The Supplier is required to work closely with the Authority upon publication and ensure all communications are coordinated. Any communication materials to be used by the Supplier should be submitted to the Authority for sign-off or agreement before use.</w:t>
      </w:r>
    </w:p>
    <w:p w14:paraId="0268197F" w14:textId="77777777" w:rsidR="003B0E73" w:rsidRDefault="00017256">
      <w:pPr>
        <w:pStyle w:val="Heading1"/>
        <w:numPr>
          <w:ilvl w:val="0"/>
          <w:numId w:val="4"/>
        </w:numPr>
        <w:rPr>
          <w:sz w:val="32"/>
          <w:szCs w:val="32"/>
        </w:rPr>
      </w:pPr>
      <w:bookmarkStart w:id="129" w:name="_heading=h.2jxsxqh" w:colFirst="0" w:colLast="0"/>
      <w:bookmarkEnd w:id="129"/>
      <w:r>
        <w:rPr>
          <w:sz w:val="32"/>
          <w:szCs w:val="32"/>
        </w:rPr>
        <w:t>PRICE</w:t>
      </w:r>
    </w:p>
    <w:p w14:paraId="6EA6E1D8" w14:textId="77777777" w:rsidR="003B0E73" w:rsidRDefault="00017256">
      <w:pPr>
        <w:pStyle w:val="Heading2"/>
        <w:numPr>
          <w:ilvl w:val="1"/>
          <w:numId w:val="4"/>
        </w:numPr>
        <w:pBdr>
          <w:top w:val="nil"/>
          <w:left w:val="nil"/>
          <w:bottom w:val="nil"/>
          <w:right w:val="nil"/>
          <w:between w:val="nil"/>
        </w:pBdr>
      </w:pPr>
      <w:r>
        <w:rPr>
          <w:sz w:val="24"/>
          <w:szCs w:val="24"/>
        </w:rPr>
        <w:t>Prices should be inclusive of expenses and exclusive of VAT.</w:t>
      </w:r>
    </w:p>
    <w:p w14:paraId="13330AF8" w14:textId="77777777" w:rsidR="003B0E73" w:rsidRDefault="00017256">
      <w:pPr>
        <w:pStyle w:val="Heading2"/>
        <w:numPr>
          <w:ilvl w:val="1"/>
          <w:numId w:val="4"/>
        </w:numPr>
        <w:pBdr>
          <w:top w:val="nil"/>
          <w:left w:val="nil"/>
          <w:bottom w:val="nil"/>
          <w:right w:val="nil"/>
          <w:between w:val="nil"/>
        </w:pBdr>
      </w:pPr>
      <w:r>
        <w:rPr>
          <w:sz w:val="24"/>
          <w:szCs w:val="24"/>
        </w:rPr>
        <w:t xml:space="preserve">The Contracting Authority is looking for the most competitive bid that can deliver maximum value for money. This will be assessed in accordance with Attachment 2. </w:t>
      </w:r>
    </w:p>
    <w:p w14:paraId="28387B13" w14:textId="77777777" w:rsidR="003B0E73" w:rsidRDefault="00017256">
      <w:pPr>
        <w:pStyle w:val="Heading2"/>
        <w:numPr>
          <w:ilvl w:val="1"/>
          <w:numId w:val="4"/>
        </w:numPr>
        <w:pBdr>
          <w:top w:val="nil"/>
          <w:left w:val="nil"/>
          <w:bottom w:val="nil"/>
          <w:right w:val="nil"/>
          <w:between w:val="nil"/>
        </w:pBdr>
      </w:pPr>
      <w:r>
        <w:rPr>
          <w:sz w:val="24"/>
          <w:szCs w:val="24"/>
        </w:rPr>
        <w:t>Usage of, and charges from, third party suppliers should be clearly identified and explained.  The Contracting Authority expects the Supplier to ensure that third party suppliers are commissioned on a clear value for money basis, and that such activities are passed on at cost.</w:t>
      </w:r>
    </w:p>
    <w:p w14:paraId="19D65D79" w14:textId="77777777" w:rsidR="003B0E73" w:rsidRDefault="00017256">
      <w:pPr>
        <w:pStyle w:val="Heading2"/>
        <w:numPr>
          <w:ilvl w:val="1"/>
          <w:numId w:val="4"/>
        </w:numPr>
        <w:pBdr>
          <w:top w:val="nil"/>
          <w:left w:val="nil"/>
          <w:bottom w:val="nil"/>
          <w:right w:val="nil"/>
          <w:between w:val="nil"/>
        </w:pBdr>
      </w:pPr>
      <w:r>
        <w:rPr>
          <w:sz w:val="24"/>
          <w:szCs w:val="24"/>
        </w:rPr>
        <w:t>Prices are to be submitted via the e-Sourcing Suite Attachment 4 – Price Schedule including VAT and including all other expenses relating to Contract delivery.</w:t>
      </w:r>
    </w:p>
    <w:p w14:paraId="4FCCAF11" w14:textId="77777777" w:rsidR="003B0E73" w:rsidRDefault="00017256">
      <w:pPr>
        <w:pStyle w:val="Heading1"/>
        <w:numPr>
          <w:ilvl w:val="0"/>
          <w:numId w:val="4"/>
        </w:numPr>
        <w:rPr>
          <w:sz w:val="32"/>
          <w:szCs w:val="32"/>
        </w:rPr>
      </w:pPr>
      <w:bookmarkStart w:id="130" w:name="_heading=h.z337ya" w:colFirst="0" w:colLast="0"/>
      <w:bookmarkEnd w:id="130"/>
      <w:r>
        <w:rPr>
          <w:sz w:val="32"/>
          <w:szCs w:val="32"/>
        </w:rPr>
        <w:t>STAFF AND CUSTOMER SERVICE</w:t>
      </w:r>
    </w:p>
    <w:p w14:paraId="7A64FD48" w14:textId="77777777" w:rsidR="003B0E73" w:rsidRDefault="00017256">
      <w:pPr>
        <w:pStyle w:val="Heading2"/>
        <w:numPr>
          <w:ilvl w:val="1"/>
          <w:numId w:val="4"/>
        </w:numPr>
        <w:pBdr>
          <w:top w:val="nil"/>
          <w:left w:val="nil"/>
          <w:bottom w:val="nil"/>
          <w:right w:val="nil"/>
          <w:between w:val="nil"/>
        </w:pBdr>
      </w:pPr>
      <w:r>
        <w:rPr>
          <w:sz w:val="24"/>
          <w:szCs w:val="24"/>
        </w:rPr>
        <w:t>The Supplier shall provide a sufficient level of resource throughout the duration of the Contract in order to consistently deliver a quality service.</w:t>
      </w:r>
    </w:p>
    <w:p w14:paraId="0F55B8C2" w14:textId="77777777" w:rsidR="003B0E73" w:rsidRDefault="00017256">
      <w:pPr>
        <w:pStyle w:val="Heading2"/>
        <w:numPr>
          <w:ilvl w:val="1"/>
          <w:numId w:val="4"/>
        </w:numPr>
        <w:pBdr>
          <w:top w:val="nil"/>
          <w:left w:val="nil"/>
          <w:bottom w:val="nil"/>
          <w:right w:val="nil"/>
          <w:between w:val="nil"/>
        </w:pBdr>
      </w:pPr>
      <w:r>
        <w:rPr>
          <w:sz w:val="24"/>
          <w:szCs w:val="24"/>
        </w:rPr>
        <w:lastRenderedPageBreak/>
        <w:t xml:space="preserve">The Supplier’s staff assigned to the Contract shall have the relevant qualifications and experience to deliver the Contract to the required standard. </w:t>
      </w:r>
    </w:p>
    <w:p w14:paraId="669D98DB" w14:textId="77777777" w:rsidR="003B0E73" w:rsidRDefault="00017256">
      <w:pPr>
        <w:pStyle w:val="Heading2"/>
        <w:numPr>
          <w:ilvl w:val="1"/>
          <w:numId w:val="4"/>
        </w:numPr>
        <w:pBdr>
          <w:top w:val="nil"/>
          <w:left w:val="nil"/>
          <w:bottom w:val="nil"/>
          <w:right w:val="nil"/>
          <w:between w:val="nil"/>
        </w:pBdr>
      </w:pPr>
      <w:r>
        <w:rPr>
          <w:sz w:val="24"/>
          <w:szCs w:val="24"/>
        </w:rPr>
        <w:t xml:space="preserve">The Supplier shall ensure that staff understand the Authority’s vision and objectives and will provide excellent customer service to the Authority throughout the duration of the Contract.  </w:t>
      </w:r>
    </w:p>
    <w:p w14:paraId="46FDF41B" w14:textId="77777777" w:rsidR="003B0E73" w:rsidRDefault="00017256">
      <w:pPr>
        <w:pStyle w:val="Heading1"/>
        <w:numPr>
          <w:ilvl w:val="0"/>
          <w:numId w:val="4"/>
        </w:numPr>
        <w:rPr>
          <w:sz w:val="32"/>
          <w:szCs w:val="32"/>
        </w:rPr>
      </w:pPr>
      <w:bookmarkStart w:id="131" w:name="_heading=h.3j2qqm3" w:colFirst="0" w:colLast="0"/>
      <w:bookmarkEnd w:id="131"/>
      <w:r>
        <w:rPr>
          <w:sz w:val="32"/>
          <w:szCs w:val="32"/>
        </w:rPr>
        <w:t>SERVICE LEVELS AND PERFORMANCE</w:t>
      </w:r>
    </w:p>
    <w:p w14:paraId="178A94E4" w14:textId="77777777" w:rsidR="003B0E73" w:rsidRDefault="00017256">
      <w:pPr>
        <w:pStyle w:val="Heading2"/>
        <w:numPr>
          <w:ilvl w:val="1"/>
          <w:numId w:val="4"/>
        </w:numPr>
        <w:pBdr>
          <w:top w:val="nil"/>
          <w:left w:val="nil"/>
          <w:bottom w:val="nil"/>
          <w:right w:val="nil"/>
          <w:between w:val="nil"/>
        </w:pBdr>
      </w:pPr>
      <w:r>
        <w:rPr>
          <w:sz w:val="24"/>
          <w:szCs w:val="24"/>
        </w:rPr>
        <w:t>The Authority will measure the quality of the Supplier’s delivery against timeliness of deliveries and alignment to the Aqua book</w:t>
      </w:r>
      <w:r>
        <w:rPr>
          <w:sz w:val="24"/>
          <w:szCs w:val="24"/>
          <w:vertAlign w:val="superscript"/>
        </w:rPr>
        <w:footnoteReference w:id="26"/>
      </w:r>
      <w:r>
        <w:rPr>
          <w:sz w:val="24"/>
          <w:szCs w:val="24"/>
        </w:rPr>
        <w:t>.</w:t>
      </w:r>
    </w:p>
    <w:p w14:paraId="3A7EA394" w14:textId="77777777" w:rsidR="003B0E73" w:rsidRDefault="00017256">
      <w:pPr>
        <w:pStyle w:val="Heading1"/>
        <w:numPr>
          <w:ilvl w:val="0"/>
          <w:numId w:val="4"/>
        </w:numPr>
        <w:rPr>
          <w:sz w:val="32"/>
          <w:szCs w:val="32"/>
        </w:rPr>
      </w:pPr>
      <w:bookmarkStart w:id="132" w:name="_heading=h.4i7ojhp" w:colFirst="0" w:colLast="0"/>
      <w:bookmarkEnd w:id="132"/>
      <w:r>
        <w:rPr>
          <w:sz w:val="32"/>
          <w:szCs w:val="32"/>
        </w:rPr>
        <w:t>SECURITY AND CONFIDENTIALITY REQUIREMENTS</w:t>
      </w:r>
    </w:p>
    <w:p w14:paraId="275639D0" w14:textId="77777777" w:rsidR="003B0E73" w:rsidRDefault="00017256">
      <w:pPr>
        <w:pStyle w:val="Heading2"/>
        <w:numPr>
          <w:ilvl w:val="1"/>
          <w:numId w:val="4"/>
        </w:numPr>
      </w:pPr>
      <w:r>
        <w:rPr>
          <w:sz w:val="24"/>
          <w:szCs w:val="24"/>
        </w:rPr>
        <w:t>Suppliers should confirm they hold either Cyber Essentials or ISO27001 certification.</w:t>
      </w:r>
    </w:p>
    <w:p w14:paraId="31F49A42" w14:textId="77777777" w:rsidR="003B0E73" w:rsidRDefault="00017256">
      <w:pPr>
        <w:pStyle w:val="Heading2"/>
        <w:numPr>
          <w:ilvl w:val="1"/>
          <w:numId w:val="4"/>
        </w:numPr>
      </w:pPr>
      <w:r>
        <w:rPr>
          <w:sz w:val="24"/>
          <w:szCs w:val="24"/>
        </w:rPr>
        <w:t xml:space="preserve">The Supplier is required to implement appropriate arrangements for data security at all times, particularly relating to the transmission and storage of personal data. Such procedures must meet the standards outlined in the framework terms and conditions, UK GDPR and the Data Protection Act 2018.  </w:t>
      </w:r>
    </w:p>
    <w:p w14:paraId="0FCEAA93" w14:textId="77777777" w:rsidR="003B0E73" w:rsidRDefault="00017256">
      <w:pPr>
        <w:pStyle w:val="Heading2"/>
        <w:numPr>
          <w:ilvl w:val="1"/>
          <w:numId w:val="4"/>
        </w:numPr>
      </w:pPr>
      <w:bookmarkStart w:id="133" w:name="_heading=h.1mnkolr1q1h7" w:colFirst="0" w:colLast="0"/>
      <w:bookmarkEnd w:id="133"/>
      <w:r>
        <w:rPr>
          <w:sz w:val="24"/>
          <w:szCs w:val="24"/>
        </w:rPr>
        <w:t>Processes should be in place for safeguarding against data and code loss, including appropriate risk management procedures. Potential Providers should confirm within their response that such procedures will be implemented and outline the technical measures to be put in place to meet such requirements.</w:t>
      </w:r>
    </w:p>
    <w:p w14:paraId="06727FA7" w14:textId="77777777" w:rsidR="003B0E73" w:rsidRDefault="00017256">
      <w:pPr>
        <w:pStyle w:val="Heading2"/>
        <w:numPr>
          <w:ilvl w:val="1"/>
          <w:numId w:val="4"/>
        </w:numPr>
        <w:pBdr>
          <w:top w:val="nil"/>
          <w:left w:val="nil"/>
          <w:bottom w:val="nil"/>
          <w:right w:val="nil"/>
          <w:between w:val="nil"/>
        </w:pBdr>
      </w:pPr>
      <w:r>
        <w:rPr>
          <w:sz w:val="24"/>
          <w:szCs w:val="24"/>
        </w:rPr>
        <w:t>Although the research may be included in a published report, no information that could identify any individual would be used when presenting findings from the study.</w:t>
      </w:r>
    </w:p>
    <w:p w14:paraId="7197F09F" w14:textId="77777777" w:rsidR="003B0E73" w:rsidRDefault="00017256">
      <w:pPr>
        <w:pStyle w:val="Heading1"/>
        <w:numPr>
          <w:ilvl w:val="0"/>
          <w:numId w:val="4"/>
        </w:numPr>
        <w:rPr>
          <w:sz w:val="32"/>
          <w:szCs w:val="32"/>
        </w:rPr>
      </w:pPr>
      <w:bookmarkStart w:id="134" w:name="_heading=h.2xcytpi" w:colFirst="0" w:colLast="0"/>
      <w:bookmarkEnd w:id="134"/>
      <w:r>
        <w:rPr>
          <w:sz w:val="32"/>
          <w:szCs w:val="32"/>
        </w:rPr>
        <w:t xml:space="preserve">PAYMENT AND INVOICING </w:t>
      </w:r>
    </w:p>
    <w:p w14:paraId="6CF7047C" w14:textId="77777777" w:rsidR="003B0E73" w:rsidRDefault="00017256">
      <w:pPr>
        <w:pStyle w:val="Heading2"/>
        <w:pBdr>
          <w:top w:val="nil"/>
          <w:left w:val="nil"/>
          <w:bottom w:val="nil"/>
          <w:right w:val="nil"/>
          <w:between w:val="nil"/>
        </w:pBdr>
        <w:jc w:val="left"/>
      </w:pPr>
      <w:bookmarkStart w:id="135" w:name="_heading=h.v2f80xik7v3u" w:colFirst="0" w:colLast="0"/>
      <w:bookmarkEnd w:id="135"/>
      <w:r>
        <w:rPr>
          <w:sz w:val="24"/>
          <w:szCs w:val="24"/>
        </w:rPr>
        <w:t>17.1 The Suppliers will be invoiced to the following schedules:</w:t>
      </w:r>
    </w:p>
    <w:tbl>
      <w:tblPr>
        <w:tblStyle w:val="aa"/>
        <w:tblpPr w:leftFromText="180" w:rightFromText="180" w:topFromText="180" w:bottomFromText="180" w:vertAnchor="text" w:tblpX="750" w:tblpY="77"/>
        <w:tblW w:w="8250" w:type="dxa"/>
        <w:tblBorders>
          <w:top w:val="nil"/>
          <w:left w:val="nil"/>
          <w:bottom w:val="nil"/>
          <w:right w:val="nil"/>
          <w:insideH w:val="nil"/>
          <w:insideV w:val="nil"/>
        </w:tblBorders>
        <w:tblLayout w:type="fixed"/>
        <w:tblLook w:val="0600" w:firstRow="0" w:lastRow="0" w:firstColumn="0" w:lastColumn="0" w:noHBand="1" w:noVBand="1"/>
      </w:tblPr>
      <w:tblGrid>
        <w:gridCol w:w="1995"/>
        <w:gridCol w:w="2085"/>
        <w:gridCol w:w="2085"/>
        <w:gridCol w:w="2085"/>
      </w:tblGrid>
      <w:tr w:rsidR="003B0E73" w14:paraId="192FD7F6" w14:textId="77777777">
        <w:trPr>
          <w:trHeight w:val="947"/>
        </w:trPr>
        <w:tc>
          <w:tcPr>
            <w:tcW w:w="1995" w:type="dxa"/>
            <w:tcBorders>
              <w:top w:val="single" w:sz="8" w:space="0" w:color="000000"/>
              <w:left w:val="single" w:sz="8" w:space="0" w:color="000000"/>
              <w:bottom w:val="single" w:sz="8" w:space="0" w:color="000000"/>
              <w:right w:val="single" w:sz="8" w:space="0" w:color="000000"/>
            </w:tcBorders>
            <w:shd w:val="clear" w:color="auto" w:fill="B8CCE4"/>
            <w:tcMar>
              <w:top w:w="0" w:type="dxa"/>
              <w:bottom w:w="0" w:type="dxa"/>
            </w:tcMar>
          </w:tcPr>
          <w:p w14:paraId="5B740BA5" w14:textId="77777777" w:rsidR="003B0E73" w:rsidRDefault="00017256">
            <w:pPr>
              <w:pStyle w:val="Heading2"/>
              <w:spacing w:before="360" w:after="80"/>
              <w:jc w:val="left"/>
              <w:rPr>
                <w:sz w:val="24"/>
                <w:szCs w:val="24"/>
              </w:rPr>
            </w:pPr>
            <w:bookmarkStart w:id="136" w:name="_heading=h.i2jf9bdwk2jf" w:colFirst="0" w:colLast="0"/>
            <w:bookmarkEnd w:id="136"/>
            <w:r>
              <w:rPr>
                <w:sz w:val="24"/>
                <w:szCs w:val="24"/>
              </w:rPr>
              <w:lastRenderedPageBreak/>
              <w:t>Invoice</w:t>
            </w:r>
          </w:p>
        </w:tc>
        <w:tc>
          <w:tcPr>
            <w:tcW w:w="2085" w:type="dxa"/>
            <w:tcBorders>
              <w:top w:val="single" w:sz="8" w:space="0" w:color="000000"/>
              <w:left w:val="single" w:sz="8" w:space="0" w:color="000000"/>
              <w:bottom w:val="single" w:sz="8" w:space="0" w:color="000000"/>
              <w:right w:val="single" w:sz="8" w:space="0" w:color="000000"/>
            </w:tcBorders>
            <w:shd w:val="clear" w:color="auto" w:fill="B8CCE4"/>
            <w:tcMar>
              <w:top w:w="0" w:type="dxa"/>
              <w:bottom w:w="0" w:type="dxa"/>
            </w:tcMar>
          </w:tcPr>
          <w:p w14:paraId="0DEFA9DD" w14:textId="77777777" w:rsidR="003B0E73" w:rsidRDefault="00017256">
            <w:pPr>
              <w:pStyle w:val="Heading2"/>
              <w:spacing w:before="360" w:after="80"/>
              <w:jc w:val="left"/>
              <w:rPr>
                <w:sz w:val="24"/>
                <w:szCs w:val="24"/>
              </w:rPr>
            </w:pPr>
            <w:bookmarkStart w:id="137" w:name="_heading=h.jze6y3qp93vt" w:colFirst="0" w:colLast="0"/>
            <w:bookmarkEnd w:id="137"/>
            <w:r>
              <w:rPr>
                <w:sz w:val="24"/>
                <w:szCs w:val="24"/>
              </w:rPr>
              <w:t>Milestone</w:t>
            </w:r>
          </w:p>
        </w:tc>
        <w:tc>
          <w:tcPr>
            <w:tcW w:w="2085" w:type="dxa"/>
            <w:tcBorders>
              <w:top w:val="single" w:sz="8" w:space="0" w:color="000000"/>
              <w:left w:val="single" w:sz="8" w:space="0" w:color="000000"/>
              <w:bottom w:val="single" w:sz="8" w:space="0" w:color="000000"/>
              <w:right w:val="single" w:sz="8" w:space="0" w:color="000000"/>
            </w:tcBorders>
            <w:shd w:val="clear" w:color="auto" w:fill="B8CCE4"/>
          </w:tcPr>
          <w:p w14:paraId="3E542C7F" w14:textId="77777777" w:rsidR="003B0E73" w:rsidRDefault="00017256">
            <w:pPr>
              <w:pStyle w:val="Heading2"/>
              <w:spacing w:before="360" w:after="80"/>
              <w:jc w:val="left"/>
              <w:rPr>
                <w:sz w:val="24"/>
                <w:szCs w:val="24"/>
              </w:rPr>
            </w:pPr>
            <w:r>
              <w:rPr>
                <w:sz w:val="24"/>
                <w:szCs w:val="24"/>
              </w:rPr>
              <w:t>Description</w:t>
            </w:r>
          </w:p>
        </w:tc>
        <w:tc>
          <w:tcPr>
            <w:tcW w:w="2085" w:type="dxa"/>
            <w:tcBorders>
              <w:top w:val="single" w:sz="8" w:space="0" w:color="000000"/>
              <w:left w:val="single" w:sz="8" w:space="0" w:color="000000"/>
              <w:bottom w:val="single" w:sz="8" w:space="0" w:color="000000"/>
              <w:right w:val="single" w:sz="8" w:space="0" w:color="000000"/>
            </w:tcBorders>
            <w:shd w:val="clear" w:color="auto" w:fill="B8CCE4"/>
          </w:tcPr>
          <w:p w14:paraId="3E3BDA3B" w14:textId="77777777" w:rsidR="003B0E73" w:rsidRDefault="00017256">
            <w:pPr>
              <w:pStyle w:val="Heading2"/>
              <w:spacing w:before="360" w:after="80"/>
              <w:jc w:val="left"/>
              <w:rPr>
                <w:sz w:val="24"/>
                <w:szCs w:val="24"/>
              </w:rPr>
            </w:pPr>
            <w:r>
              <w:rPr>
                <w:sz w:val="24"/>
                <w:szCs w:val="24"/>
              </w:rPr>
              <w:t xml:space="preserve">% </w:t>
            </w:r>
            <w:proofErr w:type="gramStart"/>
            <w:r>
              <w:rPr>
                <w:sz w:val="24"/>
                <w:szCs w:val="24"/>
              </w:rPr>
              <w:t>of</w:t>
            </w:r>
            <w:proofErr w:type="gramEnd"/>
            <w:r>
              <w:rPr>
                <w:sz w:val="24"/>
                <w:szCs w:val="24"/>
              </w:rPr>
              <w:t xml:space="preserve"> Value</w:t>
            </w:r>
          </w:p>
        </w:tc>
      </w:tr>
      <w:tr w:rsidR="003B0E73" w14:paraId="64DB4DEF" w14:textId="77777777">
        <w:trPr>
          <w:trHeight w:val="947"/>
        </w:trPr>
        <w:tc>
          <w:tcPr>
            <w:tcW w:w="1995" w:type="dxa"/>
            <w:tcBorders>
              <w:top w:val="single" w:sz="6" w:space="0" w:color="000000"/>
              <w:left w:val="single" w:sz="6" w:space="0" w:color="000000"/>
              <w:bottom w:val="single" w:sz="6" w:space="0" w:color="000000"/>
              <w:right w:val="single" w:sz="6" w:space="0" w:color="000000"/>
            </w:tcBorders>
            <w:tcMar>
              <w:top w:w="0" w:type="dxa"/>
              <w:bottom w:w="0" w:type="dxa"/>
            </w:tcMar>
          </w:tcPr>
          <w:p w14:paraId="5B7CB9A1" w14:textId="77777777" w:rsidR="003B0E73" w:rsidRDefault="00017256">
            <w:pPr>
              <w:pStyle w:val="Heading2"/>
              <w:spacing w:before="360" w:after="80"/>
              <w:jc w:val="left"/>
              <w:rPr>
                <w:sz w:val="24"/>
                <w:szCs w:val="24"/>
              </w:rPr>
            </w:pPr>
            <w:bookmarkStart w:id="138" w:name="_heading=h.cbcxlczdsrup" w:colFirst="0" w:colLast="0"/>
            <w:bookmarkEnd w:id="138"/>
            <w:r>
              <w:rPr>
                <w:sz w:val="24"/>
                <w:szCs w:val="24"/>
              </w:rPr>
              <w:t>1</w:t>
            </w:r>
          </w:p>
        </w:tc>
        <w:tc>
          <w:tcPr>
            <w:tcW w:w="2085" w:type="dxa"/>
            <w:tcBorders>
              <w:top w:val="single" w:sz="6" w:space="0" w:color="000000"/>
              <w:left w:val="single" w:sz="6" w:space="0" w:color="000000"/>
              <w:bottom w:val="single" w:sz="6" w:space="0" w:color="000000"/>
              <w:right w:val="single" w:sz="6" w:space="0" w:color="000000"/>
            </w:tcBorders>
            <w:tcMar>
              <w:top w:w="0" w:type="dxa"/>
              <w:bottom w:w="0" w:type="dxa"/>
            </w:tcMar>
          </w:tcPr>
          <w:p w14:paraId="5AEA3758" w14:textId="77777777" w:rsidR="003B0E73" w:rsidRDefault="00017256">
            <w:pPr>
              <w:pStyle w:val="Heading2"/>
              <w:spacing w:before="360" w:after="80"/>
              <w:jc w:val="left"/>
              <w:rPr>
                <w:sz w:val="24"/>
                <w:szCs w:val="24"/>
              </w:rPr>
            </w:pPr>
            <w:bookmarkStart w:id="139" w:name="_heading=h.56thzz4iosuz" w:colFirst="0" w:colLast="0"/>
            <w:bookmarkEnd w:id="139"/>
            <w:r>
              <w:rPr>
                <w:sz w:val="24"/>
                <w:szCs w:val="24"/>
              </w:rPr>
              <w:t>3</w:t>
            </w:r>
          </w:p>
        </w:tc>
        <w:tc>
          <w:tcPr>
            <w:tcW w:w="2085" w:type="dxa"/>
            <w:tcBorders>
              <w:top w:val="single" w:sz="6" w:space="0" w:color="000000"/>
              <w:left w:val="single" w:sz="6" w:space="0" w:color="000000"/>
              <w:bottom w:val="single" w:sz="6" w:space="0" w:color="000000"/>
              <w:right w:val="single" w:sz="6" w:space="0" w:color="000000"/>
            </w:tcBorders>
          </w:tcPr>
          <w:p w14:paraId="665A0D59" w14:textId="77777777" w:rsidR="003B0E73" w:rsidRDefault="00017256">
            <w:pPr>
              <w:pStyle w:val="Heading2"/>
              <w:spacing w:before="360" w:after="80"/>
              <w:jc w:val="left"/>
              <w:rPr>
                <w:sz w:val="24"/>
                <w:szCs w:val="24"/>
              </w:rPr>
            </w:pPr>
            <w:r>
              <w:rPr>
                <w:sz w:val="24"/>
                <w:szCs w:val="24"/>
              </w:rPr>
              <w:t>Interim findings presented</w:t>
            </w:r>
          </w:p>
        </w:tc>
        <w:tc>
          <w:tcPr>
            <w:tcW w:w="2085" w:type="dxa"/>
            <w:tcBorders>
              <w:top w:val="single" w:sz="6" w:space="0" w:color="000000"/>
              <w:left w:val="single" w:sz="6" w:space="0" w:color="000000"/>
              <w:bottom w:val="single" w:sz="6" w:space="0" w:color="000000"/>
              <w:right w:val="single" w:sz="6" w:space="0" w:color="000000"/>
            </w:tcBorders>
          </w:tcPr>
          <w:p w14:paraId="27BEFC21" w14:textId="77777777" w:rsidR="003B0E73" w:rsidRDefault="00017256">
            <w:pPr>
              <w:pStyle w:val="Heading2"/>
              <w:spacing w:before="360" w:after="80"/>
              <w:jc w:val="left"/>
              <w:rPr>
                <w:sz w:val="24"/>
                <w:szCs w:val="24"/>
              </w:rPr>
            </w:pPr>
            <w:r>
              <w:rPr>
                <w:sz w:val="24"/>
                <w:szCs w:val="24"/>
              </w:rPr>
              <w:t>25%</w:t>
            </w:r>
          </w:p>
        </w:tc>
      </w:tr>
      <w:tr w:rsidR="003B0E73" w14:paraId="024974A0" w14:textId="77777777">
        <w:trPr>
          <w:trHeight w:val="947"/>
        </w:trPr>
        <w:tc>
          <w:tcPr>
            <w:tcW w:w="1995" w:type="dxa"/>
            <w:tcBorders>
              <w:top w:val="single" w:sz="6" w:space="0" w:color="000000"/>
              <w:left w:val="single" w:sz="6" w:space="0" w:color="000000"/>
              <w:bottom w:val="single" w:sz="6" w:space="0" w:color="000000"/>
              <w:right w:val="single" w:sz="6" w:space="0" w:color="000000"/>
            </w:tcBorders>
            <w:tcMar>
              <w:top w:w="0" w:type="dxa"/>
              <w:bottom w:w="0" w:type="dxa"/>
            </w:tcMar>
          </w:tcPr>
          <w:p w14:paraId="4C49C2C2" w14:textId="77777777" w:rsidR="003B0E73" w:rsidRDefault="00017256">
            <w:pPr>
              <w:pStyle w:val="Heading2"/>
              <w:spacing w:before="360" w:after="80"/>
              <w:jc w:val="left"/>
              <w:rPr>
                <w:sz w:val="24"/>
                <w:szCs w:val="24"/>
              </w:rPr>
            </w:pPr>
            <w:bookmarkStart w:id="140" w:name="_heading=h.1t2wdvt1aaz3" w:colFirst="0" w:colLast="0"/>
            <w:bookmarkEnd w:id="140"/>
            <w:r>
              <w:rPr>
                <w:sz w:val="24"/>
                <w:szCs w:val="24"/>
              </w:rPr>
              <w:lastRenderedPageBreak/>
              <w:t>2</w:t>
            </w:r>
          </w:p>
        </w:tc>
        <w:tc>
          <w:tcPr>
            <w:tcW w:w="2085" w:type="dxa"/>
            <w:tcBorders>
              <w:top w:val="single" w:sz="6" w:space="0" w:color="000000"/>
              <w:left w:val="single" w:sz="6" w:space="0" w:color="000000"/>
              <w:bottom w:val="single" w:sz="6" w:space="0" w:color="000000"/>
              <w:right w:val="single" w:sz="6" w:space="0" w:color="000000"/>
            </w:tcBorders>
            <w:tcMar>
              <w:top w:w="0" w:type="dxa"/>
              <w:bottom w:w="0" w:type="dxa"/>
            </w:tcMar>
          </w:tcPr>
          <w:p w14:paraId="44C16CC2" w14:textId="77777777" w:rsidR="003B0E73" w:rsidRDefault="00017256">
            <w:pPr>
              <w:pStyle w:val="Heading2"/>
              <w:spacing w:before="360" w:after="80"/>
              <w:jc w:val="left"/>
              <w:rPr>
                <w:sz w:val="24"/>
                <w:szCs w:val="24"/>
              </w:rPr>
            </w:pPr>
            <w:bookmarkStart w:id="141" w:name="_heading=h.6h7fanva12il" w:colFirst="0" w:colLast="0"/>
            <w:bookmarkEnd w:id="141"/>
            <w:r>
              <w:rPr>
                <w:sz w:val="24"/>
                <w:szCs w:val="24"/>
              </w:rPr>
              <w:t>4</w:t>
            </w:r>
          </w:p>
        </w:tc>
        <w:tc>
          <w:tcPr>
            <w:tcW w:w="2085" w:type="dxa"/>
            <w:tcBorders>
              <w:top w:val="single" w:sz="6" w:space="0" w:color="000000"/>
              <w:left w:val="single" w:sz="6" w:space="0" w:color="000000"/>
              <w:bottom w:val="single" w:sz="6" w:space="0" w:color="000000"/>
              <w:right w:val="single" w:sz="6" w:space="0" w:color="000000"/>
            </w:tcBorders>
          </w:tcPr>
          <w:p w14:paraId="4B7637FA" w14:textId="77777777" w:rsidR="003B0E73" w:rsidRDefault="00017256">
            <w:pPr>
              <w:pStyle w:val="Heading2"/>
              <w:spacing w:before="360" w:after="80"/>
              <w:jc w:val="left"/>
              <w:rPr>
                <w:sz w:val="24"/>
                <w:szCs w:val="24"/>
              </w:rPr>
            </w:pPr>
            <w:r>
              <w:rPr>
                <w:sz w:val="24"/>
                <w:szCs w:val="24"/>
              </w:rPr>
              <w:t>Interim training package presented</w:t>
            </w:r>
          </w:p>
        </w:tc>
        <w:tc>
          <w:tcPr>
            <w:tcW w:w="2085" w:type="dxa"/>
            <w:tcBorders>
              <w:top w:val="single" w:sz="6" w:space="0" w:color="000000"/>
              <w:left w:val="single" w:sz="6" w:space="0" w:color="000000"/>
              <w:bottom w:val="single" w:sz="6" w:space="0" w:color="000000"/>
              <w:right w:val="single" w:sz="6" w:space="0" w:color="000000"/>
            </w:tcBorders>
          </w:tcPr>
          <w:p w14:paraId="114E4212" w14:textId="77777777" w:rsidR="003B0E73" w:rsidRDefault="00017256">
            <w:pPr>
              <w:pStyle w:val="Heading2"/>
              <w:spacing w:before="360" w:after="80"/>
              <w:jc w:val="left"/>
              <w:rPr>
                <w:sz w:val="24"/>
                <w:szCs w:val="24"/>
              </w:rPr>
            </w:pPr>
            <w:r>
              <w:rPr>
                <w:sz w:val="24"/>
                <w:szCs w:val="24"/>
              </w:rPr>
              <w:t>15%</w:t>
            </w:r>
          </w:p>
        </w:tc>
      </w:tr>
      <w:tr w:rsidR="003B0E73" w14:paraId="28D56428" w14:textId="77777777">
        <w:trPr>
          <w:trHeight w:val="947"/>
        </w:trPr>
        <w:tc>
          <w:tcPr>
            <w:tcW w:w="1995" w:type="dxa"/>
            <w:tcBorders>
              <w:top w:val="single" w:sz="6" w:space="0" w:color="000000"/>
              <w:left w:val="single" w:sz="6" w:space="0" w:color="000000"/>
              <w:bottom w:val="single" w:sz="6" w:space="0" w:color="000000"/>
              <w:right w:val="single" w:sz="6" w:space="0" w:color="000000"/>
            </w:tcBorders>
            <w:tcMar>
              <w:top w:w="0" w:type="dxa"/>
              <w:bottom w:w="0" w:type="dxa"/>
            </w:tcMar>
          </w:tcPr>
          <w:p w14:paraId="570BC78F" w14:textId="77777777" w:rsidR="003B0E73" w:rsidRDefault="00017256">
            <w:pPr>
              <w:pStyle w:val="Heading2"/>
              <w:spacing w:before="360" w:after="80"/>
              <w:jc w:val="left"/>
              <w:rPr>
                <w:sz w:val="24"/>
                <w:szCs w:val="24"/>
              </w:rPr>
            </w:pPr>
            <w:bookmarkStart w:id="142" w:name="_heading=h.vxadgb6mpdgv" w:colFirst="0" w:colLast="0"/>
            <w:bookmarkEnd w:id="142"/>
            <w:r>
              <w:rPr>
                <w:sz w:val="24"/>
                <w:szCs w:val="24"/>
              </w:rPr>
              <w:t>3</w:t>
            </w:r>
          </w:p>
        </w:tc>
        <w:tc>
          <w:tcPr>
            <w:tcW w:w="2085" w:type="dxa"/>
            <w:tcBorders>
              <w:top w:val="single" w:sz="6" w:space="0" w:color="000000"/>
              <w:left w:val="single" w:sz="6" w:space="0" w:color="000000"/>
              <w:bottom w:val="single" w:sz="6" w:space="0" w:color="000000"/>
              <w:right w:val="single" w:sz="6" w:space="0" w:color="000000"/>
            </w:tcBorders>
            <w:tcMar>
              <w:top w:w="0" w:type="dxa"/>
              <w:bottom w:w="0" w:type="dxa"/>
            </w:tcMar>
          </w:tcPr>
          <w:p w14:paraId="79F3A3F2" w14:textId="77777777" w:rsidR="003B0E73" w:rsidRDefault="00017256">
            <w:pPr>
              <w:pStyle w:val="Heading2"/>
              <w:spacing w:before="360" w:after="80"/>
              <w:jc w:val="left"/>
              <w:rPr>
                <w:sz w:val="24"/>
                <w:szCs w:val="24"/>
              </w:rPr>
            </w:pPr>
            <w:bookmarkStart w:id="143" w:name="_heading=h.2nggsnvsvm0s" w:colFirst="0" w:colLast="0"/>
            <w:bookmarkEnd w:id="143"/>
            <w:r>
              <w:rPr>
                <w:sz w:val="24"/>
                <w:szCs w:val="24"/>
              </w:rPr>
              <w:t>6</w:t>
            </w:r>
          </w:p>
        </w:tc>
        <w:tc>
          <w:tcPr>
            <w:tcW w:w="2085" w:type="dxa"/>
            <w:tcBorders>
              <w:top w:val="single" w:sz="6" w:space="0" w:color="000000"/>
              <w:left w:val="single" w:sz="6" w:space="0" w:color="000000"/>
              <w:bottom w:val="single" w:sz="6" w:space="0" w:color="000000"/>
              <w:right w:val="single" w:sz="6" w:space="0" w:color="000000"/>
            </w:tcBorders>
          </w:tcPr>
          <w:p w14:paraId="12E57A72" w14:textId="77777777" w:rsidR="003B0E73" w:rsidRDefault="00017256">
            <w:pPr>
              <w:pStyle w:val="Heading2"/>
              <w:spacing w:before="360" w:after="80"/>
              <w:jc w:val="left"/>
              <w:rPr>
                <w:sz w:val="24"/>
                <w:szCs w:val="24"/>
              </w:rPr>
            </w:pPr>
            <w:r>
              <w:rPr>
                <w:sz w:val="24"/>
                <w:szCs w:val="24"/>
              </w:rPr>
              <w:t>Final repo</w:t>
            </w:r>
            <w:r>
              <w:rPr>
                <w:sz w:val="24"/>
                <w:szCs w:val="24"/>
              </w:rPr>
              <w:lastRenderedPageBreak/>
              <w:t>rt signed off by Authority</w:t>
            </w:r>
          </w:p>
        </w:tc>
        <w:tc>
          <w:tcPr>
            <w:tcW w:w="2085" w:type="dxa"/>
            <w:tcBorders>
              <w:top w:val="single" w:sz="6" w:space="0" w:color="000000"/>
              <w:left w:val="single" w:sz="6" w:space="0" w:color="000000"/>
              <w:bottom w:val="single" w:sz="6" w:space="0" w:color="000000"/>
              <w:right w:val="single" w:sz="6" w:space="0" w:color="000000"/>
            </w:tcBorders>
          </w:tcPr>
          <w:p w14:paraId="089720E3" w14:textId="77777777" w:rsidR="003B0E73" w:rsidRDefault="00017256">
            <w:pPr>
              <w:pStyle w:val="Heading2"/>
              <w:spacing w:before="360" w:after="80"/>
              <w:jc w:val="left"/>
              <w:rPr>
                <w:sz w:val="24"/>
                <w:szCs w:val="24"/>
              </w:rPr>
            </w:pPr>
            <w:r>
              <w:rPr>
                <w:sz w:val="24"/>
                <w:szCs w:val="24"/>
              </w:rPr>
              <w:lastRenderedPageBreak/>
              <w:t>30%</w:t>
            </w:r>
          </w:p>
        </w:tc>
      </w:tr>
      <w:tr w:rsidR="003B0E73" w14:paraId="6760D4BD" w14:textId="77777777">
        <w:trPr>
          <w:trHeight w:val="947"/>
        </w:trPr>
        <w:tc>
          <w:tcPr>
            <w:tcW w:w="1995" w:type="dxa"/>
            <w:tcBorders>
              <w:top w:val="single" w:sz="6" w:space="0" w:color="000000"/>
              <w:left w:val="single" w:sz="6" w:space="0" w:color="000000"/>
              <w:bottom w:val="single" w:sz="6" w:space="0" w:color="000000"/>
              <w:right w:val="single" w:sz="6" w:space="0" w:color="000000"/>
            </w:tcBorders>
            <w:tcMar>
              <w:top w:w="0" w:type="dxa"/>
              <w:bottom w:w="0" w:type="dxa"/>
            </w:tcMar>
          </w:tcPr>
          <w:p w14:paraId="1D701525" w14:textId="77777777" w:rsidR="003B0E73" w:rsidRDefault="00017256">
            <w:pPr>
              <w:pStyle w:val="Heading2"/>
              <w:spacing w:before="360" w:after="80"/>
              <w:jc w:val="left"/>
              <w:rPr>
                <w:sz w:val="24"/>
                <w:szCs w:val="24"/>
              </w:rPr>
            </w:pPr>
            <w:bookmarkStart w:id="144" w:name="_heading=h.yqxg5alrtarw" w:colFirst="0" w:colLast="0"/>
            <w:bookmarkEnd w:id="144"/>
            <w:r>
              <w:rPr>
                <w:sz w:val="24"/>
                <w:szCs w:val="24"/>
              </w:rPr>
              <w:t>4</w:t>
            </w:r>
          </w:p>
        </w:tc>
        <w:tc>
          <w:tcPr>
            <w:tcW w:w="2085" w:type="dxa"/>
            <w:tcBorders>
              <w:top w:val="single" w:sz="6" w:space="0" w:color="000000"/>
              <w:left w:val="single" w:sz="6" w:space="0" w:color="000000"/>
              <w:bottom w:val="single" w:sz="6" w:space="0" w:color="000000"/>
              <w:right w:val="single" w:sz="6" w:space="0" w:color="000000"/>
            </w:tcBorders>
            <w:tcMar>
              <w:top w:w="0" w:type="dxa"/>
              <w:bottom w:w="0" w:type="dxa"/>
            </w:tcMar>
          </w:tcPr>
          <w:p w14:paraId="6FE7F246" w14:textId="77777777" w:rsidR="003B0E73" w:rsidRDefault="00017256">
            <w:pPr>
              <w:pStyle w:val="Heading2"/>
              <w:spacing w:before="360" w:after="80"/>
              <w:jc w:val="left"/>
              <w:rPr>
                <w:sz w:val="24"/>
                <w:szCs w:val="24"/>
              </w:rPr>
            </w:pPr>
            <w:bookmarkStart w:id="145" w:name="_heading=h.tzyt00jxib4d" w:colFirst="0" w:colLast="0"/>
            <w:bookmarkEnd w:id="145"/>
            <w:r>
              <w:rPr>
                <w:sz w:val="24"/>
                <w:szCs w:val="24"/>
              </w:rPr>
              <w:t>7</w:t>
            </w:r>
          </w:p>
        </w:tc>
        <w:tc>
          <w:tcPr>
            <w:tcW w:w="2085" w:type="dxa"/>
            <w:tcBorders>
              <w:top w:val="single" w:sz="6" w:space="0" w:color="000000"/>
              <w:left w:val="single" w:sz="6" w:space="0" w:color="000000"/>
              <w:bottom w:val="single" w:sz="6" w:space="0" w:color="000000"/>
              <w:right w:val="single" w:sz="6" w:space="0" w:color="000000"/>
            </w:tcBorders>
          </w:tcPr>
          <w:p w14:paraId="30464C5C" w14:textId="77777777" w:rsidR="003B0E73" w:rsidRDefault="00017256">
            <w:pPr>
              <w:pStyle w:val="Heading2"/>
              <w:spacing w:before="360" w:after="80"/>
              <w:jc w:val="left"/>
              <w:rPr>
                <w:sz w:val="24"/>
                <w:szCs w:val="24"/>
              </w:rPr>
            </w:pPr>
            <w:r>
              <w:rPr>
                <w:sz w:val="24"/>
                <w:szCs w:val="24"/>
              </w:rPr>
              <w:t>Final training packag</w:t>
            </w:r>
            <w:r>
              <w:rPr>
                <w:sz w:val="24"/>
                <w:szCs w:val="24"/>
              </w:rPr>
              <w:lastRenderedPageBreak/>
              <w:t>e signed off by Authority</w:t>
            </w:r>
          </w:p>
        </w:tc>
        <w:tc>
          <w:tcPr>
            <w:tcW w:w="2085" w:type="dxa"/>
            <w:tcBorders>
              <w:top w:val="single" w:sz="6" w:space="0" w:color="000000"/>
              <w:left w:val="single" w:sz="6" w:space="0" w:color="000000"/>
              <w:bottom w:val="single" w:sz="6" w:space="0" w:color="000000"/>
              <w:right w:val="single" w:sz="6" w:space="0" w:color="000000"/>
            </w:tcBorders>
          </w:tcPr>
          <w:p w14:paraId="13EC32AD" w14:textId="77777777" w:rsidR="003B0E73" w:rsidRDefault="00017256">
            <w:pPr>
              <w:pStyle w:val="Heading2"/>
              <w:spacing w:before="360" w:after="80"/>
              <w:jc w:val="left"/>
              <w:rPr>
                <w:sz w:val="24"/>
                <w:szCs w:val="24"/>
              </w:rPr>
            </w:pPr>
            <w:r>
              <w:rPr>
                <w:sz w:val="24"/>
                <w:szCs w:val="24"/>
              </w:rPr>
              <w:lastRenderedPageBreak/>
              <w:t>30%</w:t>
            </w:r>
          </w:p>
        </w:tc>
      </w:tr>
    </w:tbl>
    <w:p w14:paraId="08CE31DA" w14:textId="77777777" w:rsidR="003B0E73" w:rsidRDefault="00017256">
      <w:pPr>
        <w:pStyle w:val="Heading2"/>
        <w:numPr>
          <w:ilvl w:val="1"/>
          <w:numId w:val="8"/>
        </w:numPr>
        <w:pBdr>
          <w:top w:val="nil"/>
          <w:left w:val="nil"/>
          <w:bottom w:val="nil"/>
          <w:right w:val="nil"/>
          <w:between w:val="nil"/>
        </w:pBdr>
      </w:pPr>
      <w:r>
        <w:rPr>
          <w:sz w:val="24"/>
          <w:szCs w:val="24"/>
        </w:rPr>
        <w:t>Payment can only be made following satisfactory delivery of pre-agreed certified products and deliverables.</w:t>
      </w:r>
    </w:p>
    <w:p w14:paraId="695B2DD7" w14:textId="77777777" w:rsidR="003B0E73" w:rsidRDefault="00017256">
      <w:pPr>
        <w:pStyle w:val="Heading2"/>
        <w:numPr>
          <w:ilvl w:val="1"/>
          <w:numId w:val="8"/>
        </w:numPr>
        <w:pBdr>
          <w:top w:val="nil"/>
          <w:left w:val="nil"/>
          <w:bottom w:val="nil"/>
          <w:right w:val="nil"/>
          <w:between w:val="nil"/>
        </w:pBdr>
      </w:pPr>
      <w:bookmarkStart w:id="146" w:name="_heading=h.95e1fauzknfl" w:colFirst="0" w:colLast="0"/>
      <w:bookmarkEnd w:id="146"/>
      <w:r>
        <w:rPr>
          <w:sz w:val="24"/>
          <w:szCs w:val="24"/>
        </w:rPr>
        <w:t>Before payment can be considered, each invoice must include a detailed elemental breakdown of work completed and the associated costs.</w:t>
      </w:r>
    </w:p>
    <w:p w14:paraId="69FA9367" w14:textId="77777777" w:rsidR="003B0E73" w:rsidRDefault="00017256">
      <w:pPr>
        <w:pStyle w:val="Heading2"/>
        <w:numPr>
          <w:ilvl w:val="1"/>
          <w:numId w:val="8"/>
        </w:numPr>
        <w:pBdr>
          <w:top w:val="nil"/>
          <w:left w:val="nil"/>
          <w:bottom w:val="nil"/>
          <w:right w:val="nil"/>
          <w:between w:val="nil"/>
        </w:pBdr>
      </w:pPr>
      <w:bookmarkStart w:id="147" w:name="_heading=h.ucxqqhwvbvzt" w:colFirst="0" w:colLast="0"/>
      <w:bookmarkEnd w:id="147"/>
      <w:r>
        <w:rPr>
          <w:sz w:val="24"/>
          <w:szCs w:val="24"/>
        </w:rPr>
        <w:t xml:space="preserve">All invoices should be sent directly to Accounts Payable at SSCL. Please send all electronic invoices to our shared service provider at </w:t>
      </w:r>
      <w:hyperlink r:id="rId9">
        <w:r>
          <w:rPr>
            <w:color w:val="1155CC"/>
            <w:sz w:val="24"/>
            <w:szCs w:val="24"/>
            <w:u w:val="single"/>
          </w:rPr>
          <w:t>accounts-payable.cab@sscl.gse.gov.uk</w:t>
        </w:r>
      </w:hyperlink>
      <w:r>
        <w:rPr>
          <w:sz w:val="24"/>
          <w:szCs w:val="24"/>
        </w:rPr>
        <w:t xml:space="preserve"> and copied to the Authority’s finance team at </w:t>
      </w:r>
      <w:hyperlink r:id="rId10">
        <w:r>
          <w:rPr>
            <w:color w:val="0000FF"/>
            <w:sz w:val="24"/>
            <w:szCs w:val="24"/>
            <w:u w:val="single"/>
          </w:rPr>
          <w:t>oeofinance@cabinetoffice.gov.uk</w:t>
        </w:r>
      </w:hyperlink>
    </w:p>
    <w:p w14:paraId="4CF5D1C0" w14:textId="77777777" w:rsidR="003B0E73" w:rsidRDefault="00017256">
      <w:pPr>
        <w:pStyle w:val="Heading2"/>
        <w:numPr>
          <w:ilvl w:val="1"/>
          <w:numId w:val="8"/>
        </w:numPr>
        <w:pBdr>
          <w:top w:val="nil"/>
          <w:left w:val="nil"/>
          <w:bottom w:val="nil"/>
          <w:right w:val="nil"/>
          <w:between w:val="nil"/>
        </w:pBdr>
      </w:pPr>
      <w:bookmarkStart w:id="148" w:name="_heading=h.196fheewwp9a" w:colFirst="0" w:colLast="0"/>
      <w:bookmarkEnd w:id="148"/>
      <w:r>
        <w:rPr>
          <w:sz w:val="24"/>
          <w:szCs w:val="24"/>
        </w:rPr>
        <w:t>Contracting Authority purchase order numbers must be clearly stated on all invoices. Any supplier invoices received without a valid purchase order number will not be paid and will be sent back.</w:t>
      </w:r>
    </w:p>
    <w:p w14:paraId="0D7C8BD8" w14:textId="77777777" w:rsidR="003B0E73" w:rsidRDefault="00017256">
      <w:pPr>
        <w:pStyle w:val="Heading2"/>
        <w:numPr>
          <w:ilvl w:val="1"/>
          <w:numId w:val="8"/>
        </w:numPr>
        <w:pBdr>
          <w:top w:val="nil"/>
          <w:left w:val="nil"/>
          <w:bottom w:val="nil"/>
          <w:right w:val="nil"/>
          <w:between w:val="nil"/>
        </w:pBdr>
      </w:pPr>
      <w:bookmarkStart w:id="149" w:name="_heading=h.fkn5xrtgz4pq" w:colFirst="0" w:colLast="0"/>
      <w:bookmarkEnd w:id="149"/>
      <w:r>
        <w:rPr>
          <w:sz w:val="24"/>
          <w:szCs w:val="24"/>
        </w:rPr>
        <w:t>Invoices should be submitted to:</w:t>
      </w:r>
    </w:p>
    <w:p w14:paraId="7E0D8FD1" w14:textId="77777777" w:rsidR="003B0E73" w:rsidRDefault="00017256">
      <w:pPr>
        <w:pStyle w:val="Heading3"/>
        <w:numPr>
          <w:ilvl w:val="2"/>
          <w:numId w:val="5"/>
        </w:numPr>
        <w:spacing w:after="0"/>
        <w:ind w:left="720" w:firstLine="2520"/>
        <w:rPr>
          <w:sz w:val="24"/>
          <w:szCs w:val="24"/>
        </w:rPr>
      </w:pPr>
      <w:bookmarkStart w:id="150" w:name="_heading=h.tpysyfpmd238" w:colFirst="0" w:colLast="0"/>
      <w:bookmarkEnd w:id="150"/>
      <w:r>
        <w:rPr>
          <w:sz w:val="24"/>
          <w:szCs w:val="24"/>
        </w:rPr>
        <w:t>Shared Services Connected Limited,</w:t>
      </w:r>
    </w:p>
    <w:p w14:paraId="69534786" w14:textId="77777777" w:rsidR="003B0E73" w:rsidRDefault="00017256">
      <w:pPr>
        <w:pStyle w:val="Heading3"/>
        <w:numPr>
          <w:ilvl w:val="2"/>
          <w:numId w:val="5"/>
        </w:numPr>
        <w:spacing w:after="0"/>
        <w:ind w:left="720" w:firstLine="2520"/>
        <w:rPr>
          <w:sz w:val="24"/>
          <w:szCs w:val="24"/>
        </w:rPr>
      </w:pPr>
      <w:bookmarkStart w:id="151" w:name="_heading=h.fze4e84w8z6i" w:colFirst="0" w:colLast="0"/>
      <w:bookmarkEnd w:id="151"/>
      <w:r>
        <w:rPr>
          <w:sz w:val="24"/>
          <w:szCs w:val="24"/>
        </w:rPr>
        <w:t>CAB Procure to Pay,</w:t>
      </w:r>
    </w:p>
    <w:p w14:paraId="3AEBD099" w14:textId="77777777" w:rsidR="003B0E73" w:rsidRDefault="00017256">
      <w:pPr>
        <w:pStyle w:val="Heading3"/>
        <w:numPr>
          <w:ilvl w:val="2"/>
          <w:numId w:val="5"/>
        </w:numPr>
        <w:spacing w:after="0"/>
        <w:ind w:left="720" w:firstLine="2520"/>
        <w:rPr>
          <w:sz w:val="24"/>
          <w:szCs w:val="24"/>
        </w:rPr>
      </w:pPr>
      <w:bookmarkStart w:id="152" w:name="_heading=h.ykhg8kr8tsz0" w:colFirst="0" w:colLast="0"/>
      <w:bookmarkEnd w:id="152"/>
      <w:r>
        <w:rPr>
          <w:sz w:val="24"/>
          <w:szCs w:val="24"/>
        </w:rPr>
        <w:t>PO Box 405,</w:t>
      </w:r>
    </w:p>
    <w:p w14:paraId="03AE4D29" w14:textId="77777777" w:rsidR="003B0E73" w:rsidRDefault="00017256">
      <w:pPr>
        <w:pStyle w:val="Heading3"/>
        <w:numPr>
          <w:ilvl w:val="2"/>
          <w:numId w:val="5"/>
        </w:numPr>
        <w:spacing w:after="0"/>
        <w:ind w:left="720" w:firstLine="2520"/>
        <w:rPr>
          <w:sz w:val="24"/>
          <w:szCs w:val="24"/>
        </w:rPr>
      </w:pPr>
      <w:bookmarkStart w:id="153" w:name="_heading=h.70zrv6u4n3rx" w:colFirst="0" w:colLast="0"/>
      <w:bookmarkEnd w:id="153"/>
      <w:r>
        <w:rPr>
          <w:sz w:val="24"/>
          <w:szCs w:val="24"/>
        </w:rPr>
        <w:t>Newport,</w:t>
      </w:r>
    </w:p>
    <w:p w14:paraId="50D2CDA0" w14:textId="77777777" w:rsidR="003B0E73" w:rsidRDefault="00017256">
      <w:pPr>
        <w:pStyle w:val="Heading3"/>
        <w:numPr>
          <w:ilvl w:val="2"/>
          <w:numId w:val="5"/>
        </w:numPr>
        <w:spacing w:after="0"/>
        <w:ind w:left="720" w:firstLine="2520"/>
        <w:rPr>
          <w:sz w:val="24"/>
          <w:szCs w:val="24"/>
        </w:rPr>
      </w:pPr>
      <w:r>
        <w:rPr>
          <w:sz w:val="24"/>
          <w:szCs w:val="24"/>
        </w:rPr>
        <w:t>NP10 8FZ</w:t>
      </w:r>
    </w:p>
    <w:p w14:paraId="422741A6" w14:textId="77777777" w:rsidR="003B0E73" w:rsidRDefault="003B0E73">
      <w:pPr>
        <w:pStyle w:val="Heading1"/>
        <w:numPr>
          <w:ilvl w:val="0"/>
          <w:numId w:val="5"/>
        </w:numPr>
        <w:ind w:left="1080" w:firstLine="1080"/>
      </w:pPr>
      <w:bookmarkStart w:id="154" w:name="_heading=h.d8jkft1ixwa6" w:colFirst="0" w:colLast="0"/>
      <w:bookmarkEnd w:id="154"/>
    </w:p>
    <w:p w14:paraId="770E64ED" w14:textId="77777777" w:rsidR="003B0E73" w:rsidRDefault="00017256">
      <w:pPr>
        <w:pStyle w:val="Heading1"/>
        <w:numPr>
          <w:ilvl w:val="0"/>
          <w:numId w:val="8"/>
        </w:numPr>
        <w:rPr>
          <w:sz w:val="32"/>
          <w:szCs w:val="32"/>
        </w:rPr>
      </w:pPr>
      <w:bookmarkStart w:id="155" w:name="_heading=h.1ci93xb" w:colFirst="0" w:colLast="0"/>
      <w:bookmarkEnd w:id="155"/>
      <w:r>
        <w:rPr>
          <w:sz w:val="32"/>
          <w:szCs w:val="32"/>
        </w:rPr>
        <w:t xml:space="preserve">CONTRACT MANAGEMENT </w:t>
      </w:r>
    </w:p>
    <w:p w14:paraId="7E42E050" w14:textId="77777777" w:rsidR="003B0E73" w:rsidRDefault="00017256">
      <w:pPr>
        <w:pStyle w:val="Heading2"/>
        <w:numPr>
          <w:ilvl w:val="1"/>
          <w:numId w:val="8"/>
        </w:numPr>
      </w:pPr>
      <w:r>
        <w:rPr>
          <w:sz w:val="24"/>
          <w:szCs w:val="24"/>
        </w:rPr>
        <w:t>The Supplier will be required to implement a structured approach to risk management, outlining the key risks identified and how these will be managed.   This is to include risks relating to project delivery, in addition to presentational risks due to the sensitive nature of this research.</w:t>
      </w:r>
    </w:p>
    <w:p w14:paraId="66A465F4" w14:textId="77777777" w:rsidR="003B0E73" w:rsidRDefault="00017256">
      <w:pPr>
        <w:pStyle w:val="Heading2"/>
        <w:numPr>
          <w:ilvl w:val="1"/>
          <w:numId w:val="8"/>
        </w:numPr>
      </w:pPr>
      <w:r>
        <w:rPr>
          <w:sz w:val="24"/>
          <w:szCs w:val="24"/>
        </w:rPr>
        <w:t xml:space="preserve">Potential Suppliers should outline full details of this plan as part of their response, including the course of action to be followed should risks to project delivery arise, </w:t>
      </w:r>
      <w:proofErr w:type="gramStart"/>
      <w:r>
        <w:rPr>
          <w:sz w:val="24"/>
          <w:szCs w:val="24"/>
        </w:rPr>
        <w:t>e.g.</w:t>
      </w:r>
      <w:proofErr w:type="gramEnd"/>
      <w:r>
        <w:rPr>
          <w:sz w:val="24"/>
          <w:szCs w:val="24"/>
        </w:rPr>
        <w:t xml:space="preserve"> in the case of low response rates and/or slippage.</w:t>
      </w:r>
    </w:p>
    <w:p w14:paraId="4BE83C73" w14:textId="77777777" w:rsidR="003B0E73" w:rsidRDefault="00017256">
      <w:pPr>
        <w:pStyle w:val="Heading2"/>
        <w:numPr>
          <w:ilvl w:val="1"/>
          <w:numId w:val="8"/>
        </w:numPr>
      </w:pPr>
      <w:r>
        <w:rPr>
          <w:sz w:val="24"/>
          <w:szCs w:val="24"/>
        </w:rPr>
        <w:t>As part of the monthly progress reports outlined above, the Supplier should report on performance against relevant milestones and include an update on risks identified and how these will be managed.</w:t>
      </w:r>
    </w:p>
    <w:p w14:paraId="2763D674" w14:textId="77777777" w:rsidR="003B0E73" w:rsidRDefault="00017256">
      <w:pPr>
        <w:pStyle w:val="Heading2"/>
        <w:numPr>
          <w:ilvl w:val="1"/>
          <w:numId w:val="8"/>
        </w:numPr>
      </w:pPr>
      <w:r>
        <w:rPr>
          <w:sz w:val="24"/>
          <w:szCs w:val="24"/>
        </w:rPr>
        <w:t>The Contracting Authority will assess performance based on these reports and will require additional meetings with the Supplier if milestones are not met, either in terms of timings or quality.</w:t>
      </w:r>
    </w:p>
    <w:p w14:paraId="3C26EF57" w14:textId="77777777" w:rsidR="003B0E73" w:rsidRDefault="00017256">
      <w:pPr>
        <w:pStyle w:val="Heading2"/>
        <w:numPr>
          <w:ilvl w:val="1"/>
          <w:numId w:val="8"/>
        </w:numPr>
      </w:pPr>
      <w:r>
        <w:rPr>
          <w:sz w:val="24"/>
          <w:szCs w:val="24"/>
        </w:rPr>
        <w:t>Attendance at Contract Review meetings shall be at the Supplier’s own expense.</w:t>
      </w:r>
    </w:p>
    <w:p w14:paraId="3CB8B638" w14:textId="77777777" w:rsidR="003B0E73" w:rsidRDefault="00017256">
      <w:pPr>
        <w:pStyle w:val="Heading1"/>
        <w:numPr>
          <w:ilvl w:val="0"/>
          <w:numId w:val="8"/>
        </w:numPr>
        <w:spacing w:after="120"/>
        <w:rPr>
          <w:sz w:val="32"/>
          <w:szCs w:val="32"/>
        </w:rPr>
      </w:pPr>
      <w:bookmarkStart w:id="156" w:name="_heading=h.3whwml4" w:colFirst="0" w:colLast="0"/>
      <w:bookmarkEnd w:id="156"/>
      <w:r>
        <w:rPr>
          <w:sz w:val="32"/>
          <w:szCs w:val="32"/>
        </w:rPr>
        <w:t>LOCATION</w:t>
      </w:r>
    </w:p>
    <w:p w14:paraId="1533657A" w14:textId="77777777" w:rsidR="003B0E73" w:rsidRDefault="00017256">
      <w:pPr>
        <w:pStyle w:val="Heading2"/>
        <w:numPr>
          <w:ilvl w:val="1"/>
          <w:numId w:val="8"/>
        </w:numPr>
        <w:spacing w:after="120"/>
        <w:ind w:left="709" w:hanging="709"/>
      </w:pPr>
      <w:r>
        <w:rPr>
          <w:sz w:val="24"/>
          <w:szCs w:val="24"/>
        </w:rPr>
        <w:t>The location of the Services will be carried out at the Supplier’s address.</w:t>
      </w:r>
    </w:p>
    <w:sectPr w:rsidR="003B0E73">
      <w:headerReference w:type="even" r:id="rId11"/>
      <w:headerReference w:type="default" r:id="rId12"/>
      <w:footerReference w:type="even" r:id="rId13"/>
      <w:footerReference w:type="default" r:id="rId14"/>
      <w:headerReference w:type="first" r:id="rId15"/>
      <w:footerReference w:type="first" r:id="rId16"/>
      <w:pgSz w:w="11909" w:h="16834"/>
      <w:pgMar w:top="1440" w:right="1440" w:bottom="1559" w:left="1440" w:header="425" w:footer="43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17CCC" w14:textId="77777777" w:rsidR="00F72C2E" w:rsidRDefault="00F72C2E">
      <w:r>
        <w:separator/>
      </w:r>
    </w:p>
  </w:endnote>
  <w:endnote w:type="continuationSeparator" w:id="0">
    <w:p w14:paraId="435A37EA" w14:textId="77777777" w:rsidR="00F72C2E" w:rsidRDefault="00F72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G Times">
    <w:panose1 w:val="00000000000000000000"/>
    <w:charset w:val="00"/>
    <w:family w:val="roman"/>
    <w:notTrueType/>
    <w:pitch w:val="default"/>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E2018" w14:textId="77777777" w:rsidR="003B0E73" w:rsidRDefault="003B0E73">
    <w:pPr>
      <w:pBdr>
        <w:top w:val="nil"/>
        <w:left w:val="nil"/>
        <w:bottom w:val="nil"/>
        <w:right w:val="nil"/>
        <w:between w:val="nil"/>
      </w:pBdr>
      <w:tabs>
        <w:tab w:val="center" w:pos="4153"/>
        <w:tab w:val="right" w:pos="8306"/>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7A38C" w14:textId="77777777" w:rsidR="003B0E73" w:rsidRDefault="00017256">
    <w:pPr>
      <w:pBdr>
        <w:top w:val="nil"/>
        <w:left w:val="nil"/>
        <w:bottom w:val="nil"/>
        <w:right w:val="nil"/>
        <w:between w:val="nil"/>
      </w:pBdr>
      <w:tabs>
        <w:tab w:val="center" w:pos="4153"/>
        <w:tab w:val="right" w:pos="8306"/>
      </w:tabs>
      <w:jc w:val="center"/>
      <w:rPr>
        <w:color w:val="000000"/>
      </w:rPr>
    </w:pPr>
    <w:r>
      <w:rPr>
        <w:noProof/>
      </w:rPr>
      <mc:AlternateContent>
        <mc:Choice Requires="wps">
          <w:drawing>
            <wp:anchor distT="0" distB="0" distL="114300" distR="114300" simplePos="0" relativeHeight="251660288" behindDoc="0" locked="0" layoutInCell="1" hidden="0" allowOverlap="1" wp14:anchorId="78E0638C" wp14:editId="5357D883">
              <wp:simplePos x="0" y="0"/>
              <wp:positionH relativeFrom="column">
                <wp:posOffset>-25399</wp:posOffset>
              </wp:positionH>
              <wp:positionV relativeFrom="paragraph">
                <wp:posOffset>38100</wp:posOffset>
              </wp:positionV>
              <wp:extent cx="9525" cy="12700"/>
              <wp:effectExtent l="0" t="0" r="0" b="0"/>
              <wp:wrapNone/>
              <wp:docPr id="29" name="Straight Arrow Connector 29"/>
              <wp:cNvGraphicFramePr/>
              <a:graphic xmlns:a="http://schemas.openxmlformats.org/drawingml/2006/main">
                <a:graphicData uri="http://schemas.microsoft.com/office/word/2010/wordprocessingShape">
                  <wps:wsp>
                    <wps:cNvCnPr/>
                    <wps:spPr>
                      <a:xfrm>
                        <a:off x="2474213" y="3775238"/>
                        <a:ext cx="5743575" cy="9525"/>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-25399</wp:posOffset>
              </wp:positionH>
              <wp:positionV relativeFrom="paragraph">
                <wp:posOffset>38100</wp:posOffset>
              </wp:positionV>
              <wp:extent cx="9525" cy="12700"/>
              <wp:effectExtent b="0" l="0" r="0" t="0"/>
              <wp:wrapNone/>
              <wp:docPr id="29"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9525" cy="12700"/>
                      </a:xfrm>
                      <a:prstGeom prst="rect"/>
                      <a:ln/>
                    </pic:spPr>
                  </pic:pic>
                </a:graphicData>
              </a:graphic>
            </wp:anchor>
          </w:drawing>
        </mc:Fallback>
      </mc:AlternateContent>
    </w:r>
  </w:p>
  <w:p w14:paraId="79FA0C98" w14:textId="77777777" w:rsidR="003B0E73" w:rsidRDefault="00017256">
    <w:pPr>
      <w:pBdr>
        <w:top w:val="nil"/>
        <w:left w:val="nil"/>
        <w:bottom w:val="nil"/>
        <w:right w:val="nil"/>
        <w:between w:val="nil"/>
      </w:pBdr>
      <w:tabs>
        <w:tab w:val="center" w:pos="4153"/>
        <w:tab w:val="right" w:pos="8306"/>
      </w:tabs>
      <w:jc w:val="center"/>
      <w:rPr>
        <w:color w:val="000000"/>
        <w:sz w:val="20"/>
        <w:szCs w:val="20"/>
      </w:rPr>
    </w:pPr>
    <w:r>
      <w:rPr>
        <w:color w:val="000000"/>
        <w:sz w:val="20"/>
        <w:szCs w:val="20"/>
      </w:rPr>
      <w:t>OFFICIAL</w:t>
    </w:r>
  </w:p>
  <w:p w14:paraId="08C22227" w14:textId="77777777" w:rsidR="003B0E73" w:rsidRDefault="00017256">
    <w:pPr>
      <w:pBdr>
        <w:top w:val="nil"/>
        <w:left w:val="nil"/>
        <w:bottom w:val="nil"/>
        <w:right w:val="nil"/>
        <w:between w:val="nil"/>
      </w:pBdr>
      <w:tabs>
        <w:tab w:val="center" w:pos="4153"/>
        <w:tab w:val="right" w:pos="8306"/>
      </w:tabs>
      <w:rPr>
        <w:sz w:val="20"/>
        <w:szCs w:val="20"/>
      </w:rPr>
    </w:pPr>
    <w:r>
      <w:rPr>
        <w:sz w:val="20"/>
        <w:szCs w:val="20"/>
      </w:rPr>
      <w:t xml:space="preserve">Bid Pack for Provision of Gender Pay Gap Decomposition Analysis </w:t>
    </w:r>
  </w:p>
  <w:p w14:paraId="1AA4DA42" w14:textId="77777777" w:rsidR="003B0E73" w:rsidRDefault="00017256">
    <w:pPr>
      <w:pBdr>
        <w:top w:val="nil"/>
        <w:left w:val="nil"/>
        <w:bottom w:val="nil"/>
        <w:right w:val="nil"/>
        <w:between w:val="nil"/>
      </w:pBdr>
      <w:tabs>
        <w:tab w:val="center" w:pos="4153"/>
        <w:tab w:val="right" w:pos="8306"/>
      </w:tabs>
      <w:rPr>
        <w:color w:val="000000"/>
        <w:sz w:val="20"/>
        <w:szCs w:val="20"/>
      </w:rPr>
    </w:pPr>
    <w:r>
      <w:rPr>
        <w:sz w:val="20"/>
        <w:szCs w:val="20"/>
      </w:rPr>
      <w:t>Contract Reference: CCCO25A01</w:t>
    </w:r>
  </w:p>
  <w:p w14:paraId="4155D045" w14:textId="27A9D137" w:rsidR="003B0E73" w:rsidRDefault="00BE3518">
    <w:pPr>
      <w:pBdr>
        <w:top w:val="nil"/>
        <w:left w:val="nil"/>
        <w:bottom w:val="nil"/>
        <w:right w:val="nil"/>
        <w:between w:val="nil"/>
      </w:pBdr>
      <w:tabs>
        <w:tab w:val="center" w:pos="4153"/>
        <w:tab w:val="right" w:pos="8306"/>
      </w:tabs>
      <w:rPr>
        <w:sz w:val="20"/>
        <w:szCs w:val="20"/>
      </w:rPr>
    </w:pPr>
    <w:r>
      <w:rPr>
        <w:sz w:val="20"/>
        <w:szCs w:val="20"/>
      </w:rPr>
      <w:t>17/04</w:t>
    </w:r>
    <w:r w:rsidR="00017256">
      <w:rPr>
        <w:sz w:val="20"/>
        <w:szCs w:val="20"/>
      </w:rPr>
      <w:t>/2025</w:t>
    </w:r>
  </w:p>
  <w:p w14:paraId="1423CD0C" w14:textId="77777777" w:rsidR="003B0E73" w:rsidRDefault="00017256">
    <w:pPr>
      <w:pBdr>
        <w:top w:val="nil"/>
        <w:left w:val="nil"/>
        <w:bottom w:val="nil"/>
        <w:right w:val="nil"/>
        <w:between w:val="nil"/>
      </w:pBdr>
      <w:tabs>
        <w:tab w:val="center" w:pos="4153"/>
        <w:tab w:val="right" w:pos="8306"/>
      </w:tabs>
      <w:rPr>
        <w:color w:val="000000"/>
        <w:sz w:val="20"/>
        <w:szCs w:val="20"/>
      </w:rPr>
    </w:pPr>
    <w:r>
      <w:rPr>
        <w:color w:val="222222"/>
        <w:sz w:val="20"/>
        <w:szCs w:val="20"/>
        <w:highlight w:val="white"/>
      </w:rPr>
      <w:t>© Crown copyright 2018</w:t>
    </w:r>
  </w:p>
  <w:p w14:paraId="3C7E0101" w14:textId="77777777" w:rsidR="003B0E73" w:rsidRDefault="003B0E73">
    <w:pPr>
      <w:pBdr>
        <w:top w:val="nil"/>
        <w:left w:val="nil"/>
        <w:bottom w:val="nil"/>
        <w:right w:val="nil"/>
        <w:between w:val="nil"/>
      </w:pBdr>
      <w:tabs>
        <w:tab w:val="center" w:pos="4153"/>
        <w:tab w:val="right" w:pos="8306"/>
      </w:tabs>
      <w:jc w:val="right"/>
      <w:rPr>
        <w:color w:val="000000"/>
        <w:sz w:val="20"/>
        <w:szCs w:val="20"/>
      </w:rPr>
    </w:pPr>
  </w:p>
  <w:p w14:paraId="48F94D51" w14:textId="77777777" w:rsidR="003B0E73" w:rsidRDefault="00017256">
    <w:pPr>
      <w:pBdr>
        <w:top w:val="nil"/>
        <w:left w:val="nil"/>
        <w:bottom w:val="nil"/>
        <w:right w:val="nil"/>
        <w:between w:val="nil"/>
      </w:pBdr>
      <w:tabs>
        <w:tab w:val="center" w:pos="4153"/>
        <w:tab w:val="right" w:pos="8306"/>
      </w:tabs>
      <w:jc w:val="center"/>
      <w:rPr>
        <w:color w:val="000000"/>
      </w:rPr>
    </w:pPr>
    <w:r>
      <w:rPr>
        <w:color w:val="000000"/>
        <w:sz w:val="20"/>
        <w:szCs w:val="20"/>
      </w:rPr>
      <w:fldChar w:fldCharType="begin"/>
    </w:r>
    <w:r>
      <w:rPr>
        <w:color w:val="000000"/>
        <w:sz w:val="20"/>
        <w:szCs w:val="20"/>
      </w:rPr>
      <w:instrText>PAGE</w:instrText>
    </w:r>
    <w:r>
      <w:rPr>
        <w:color w:val="000000"/>
        <w:sz w:val="20"/>
        <w:szCs w:val="20"/>
      </w:rPr>
      <w:fldChar w:fldCharType="separate"/>
    </w:r>
    <w:r w:rsidR="009C6DAD">
      <w:rPr>
        <w:noProof/>
        <w:color w:val="000000"/>
        <w:sz w:val="20"/>
        <w:szCs w:val="20"/>
      </w:rPr>
      <w:t>1</w:t>
    </w:r>
    <w:r>
      <w:rPr>
        <w:color w:val="000000"/>
        <w:sz w:val="20"/>
        <w:szCs w:val="20"/>
      </w:rPr>
      <w:fldChar w:fldCharType="end"/>
    </w:r>
  </w:p>
  <w:p w14:paraId="1F1800FB" w14:textId="77777777" w:rsidR="003B0E73" w:rsidRDefault="003B0E73">
    <w:pPr>
      <w:pBdr>
        <w:top w:val="nil"/>
        <w:left w:val="nil"/>
        <w:bottom w:val="nil"/>
        <w:right w:val="nil"/>
        <w:between w:val="nil"/>
      </w:pBdr>
      <w:tabs>
        <w:tab w:val="center" w:pos="4153"/>
        <w:tab w:val="right" w:pos="8306"/>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205FB" w14:textId="77777777" w:rsidR="003B0E73" w:rsidRDefault="003B0E73">
    <w:pPr>
      <w:pBdr>
        <w:top w:val="nil"/>
        <w:left w:val="nil"/>
        <w:bottom w:val="nil"/>
        <w:right w:val="nil"/>
        <w:between w:val="nil"/>
      </w:pBdr>
      <w:tabs>
        <w:tab w:val="center" w:pos="4153"/>
        <w:tab w:val="right" w:pos="830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B9802" w14:textId="77777777" w:rsidR="00F72C2E" w:rsidRDefault="00F72C2E">
      <w:r>
        <w:separator/>
      </w:r>
    </w:p>
  </w:footnote>
  <w:footnote w:type="continuationSeparator" w:id="0">
    <w:p w14:paraId="43BF4686" w14:textId="77777777" w:rsidR="00F72C2E" w:rsidRDefault="00F72C2E">
      <w:r>
        <w:continuationSeparator/>
      </w:r>
    </w:p>
  </w:footnote>
  <w:footnote w:id="1">
    <w:p w14:paraId="6C19EDBB" w14:textId="77777777" w:rsidR="003B0E73" w:rsidRDefault="00017256">
      <w:pPr>
        <w:rPr>
          <w:sz w:val="20"/>
          <w:szCs w:val="20"/>
        </w:rPr>
      </w:pPr>
      <w:r>
        <w:rPr>
          <w:rStyle w:val="FootnoteReference"/>
        </w:rPr>
        <w:footnoteRef/>
      </w:r>
      <w:r>
        <w:rPr>
          <w:sz w:val="20"/>
          <w:szCs w:val="20"/>
        </w:rPr>
        <w:t xml:space="preserve"> </w:t>
      </w:r>
      <w:hyperlink r:id="rId1">
        <w:r>
          <w:rPr>
            <w:color w:val="1155CC"/>
            <w:sz w:val="20"/>
            <w:szCs w:val="20"/>
            <w:u w:val="single"/>
          </w:rPr>
          <w:t>Cabinet Office website</w:t>
        </w:r>
      </w:hyperlink>
    </w:p>
  </w:footnote>
  <w:footnote w:id="2">
    <w:p w14:paraId="39C21E76" w14:textId="77777777" w:rsidR="003B0E73" w:rsidRDefault="00017256">
      <w:pPr>
        <w:rPr>
          <w:sz w:val="20"/>
          <w:szCs w:val="20"/>
        </w:rPr>
      </w:pPr>
      <w:r>
        <w:rPr>
          <w:rStyle w:val="FootnoteReference"/>
        </w:rPr>
        <w:footnoteRef/>
      </w:r>
      <w:r>
        <w:rPr>
          <w:sz w:val="20"/>
          <w:szCs w:val="20"/>
        </w:rPr>
        <w:t xml:space="preserve"> Office for National Statistics (ONS), released 29 October 2024, ONS website, statistical bulletin, </w:t>
      </w:r>
      <w:hyperlink r:id="rId2">
        <w:r>
          <w:rPr>
            <w:color w:val="1155CC"/>
            <w:sz w:val="20"/>
            <w:szCs w:val="20"/>
            <w:u w:val="single"/>
          </w:rPr>
          <w:t>Gender pay gap in the UK: 2024</w:t>
        </w:r>
      </w:hyperlink>
    </w:p>
  </w:footnote>
  <w:footnote w:id="3">
    <w:p w14:paraId="671774B3" w14:textId="77777777" w:rsidR="003B0E73" w:rsidRDefault="00017256">
      <w:pPr>
        <w:rPr>
          <w:sz w:val="20"/>
          <w:szCs w:val="20"/>
        </w:rPr>
      </w:pPr>
      <w:r>
        <w:rPr>
          <w:rStyle w:val="FootnoteReference"/>
        </w:rPr>
        <w:footnoteRef/>
      </w:r>
      <w:r>
        <w:rPr>
          <w:sz w:val="20"/>
          <w:szCs w:val="20"/>
        </w:rPr>
        <w:t xml:space="preserve"> Trade Unions Congress (TUC), 21 Feb 2024, </w:t>
      </w:r>
      <w:hyperlink r:id="rId3">
        <w:r>
          <w:rPr>
            <w:color w:val="1155CC"/>
            <w:sz w:val="20"/>
            <w:szCs w:val="20"/>
            <w:u w:val="single"/>
          </w:rPr>
          <w:t>TUC: Gender pay gap means women work first two months of the year unpaid</w:t>
        </w:r>
      </w:hyperlink>
    </w:p>
  </w:footnote>
  <w:footnote w:id="4">
    <w:p w14:paraId="09E4DD15" w14:textId="77777777" w:rsidR="003B0E73" w:rsidRDefault="00017256">
      <w:pPr>
        <w:rPr>
          <w:sz w:val="20"/>
          <w:szCs w:val="20"/>
        </w:rPr>
      </w:pPr>
      <w:r>
        <w:rPr>
          <w:rStyle w:val="FootnoteReference"/>
        </w:rPr>
        <w:footnoteRef/>
      </w:r>
      <w:r>
        <w:rPr>
          <w:sz w:val="20"/>
          <w:szCs w:val="20"/>
        </w:rPr>
        <w:t xml:space="preserve"> </w:t>
      </w:r>
      <w:proofErr w:type="spellStart"/>
      <w:r>
        <w:rPr>
          <w:sz w:val="20"/>
          <w:szCs w:val="20"/>
        </w:rPr>
        <w:t>PricewaterhouseCooper</w:t>
      </w:r>
      <w:proofErr w:type="spellEnd"/>
      <w:r>
        <w:rPr>
          <w:sz w:val="20"/>
          <w:szCs w:val="20"/>
        </w:rPr>
        <w:t xml:space="preserve"> (PwC), June 2024, </w:t>
      </w:r>
      <w:hyperlink r:id="rId4">
        <w:r>
          <w:rPr>
            <w:color w:val="1155CC"/>
            <w:sz w:val="20"/>
            <w:szCs w:val="20"/>
            <w:u w:val="single"/>
          </w:rPr>
          <w:t>Mandatory UK Gender Pay Gap Reporting</w:t>
        </w:r>
      </w:hyperlink>
    </w:p>
  </w:footnote>
  <w:footnote w:id="5">
    <w:p w14:paraId="2C02313E" w14:textId="77777777" w:rsidR="003B0E73" w:rsidRDefault="00017256">
      <w:pPr>
        <w:rPr>
          <w:sz w:val="20"/>
          <w:szCs w:val="20"/>
        </w:rPr>
      </w:pPr>
      <w:r>
        <w:rPr>
          <w:rStyle w:val="FootnoteReference"/>
        </w:rPr>
        <w:footnoteRef/>
      </w:r>
      <w:r>
        <w:rPr>
          <w:sz w:val="20"/>
          <w:szCs w:val="20"/>
        </w:rPr>
        <w:t xml:space="preserve"> Olsen et al., 2018 defined covariates which increase the GPG as ‘drivers’, and covariates which decrease the GPG as ‘protective </w:t>
      </w:r>
      <w:proofErr w:type="gramStart"/>
      <w:r>
        <w:rPr>
          <w:sz w:val="20"/>
          <w:szCs w:val="20"/>
        </w:rPr>
        <w:t>factors’</w:t>
      </w:r>
      <w:proofErr w:type="gramEnd"/>
      <w:r>
        <w:rPr>
          <w:sz w:val="20"/>
          <w:szCs w:val="20"/>
        </w:rPr>
        <w:t>.</w:t>
      </w:r>
    </w:p>
  </w:footnote>
  <w:footnote w:id="6">
    <w:p w14:paraId="6B27DD5B" w14:textId="77777777" w:rsidR="003B0E73" w:rsidRDefault="00017256">
      <w:pPr>
        <w:rPr>
          <w:sz w:val="20"/>
          <w:szCs w:val="20"/>
        </w:rPr>
      </w:pPr>
      <w:r>
        <w:rPr>
          <w:rStyle w:val="FootnoteReference"/>
        </w:rPr>
        <w:footnoteRef/>
      </w:r>
      <w:r>
        <w:rPr>
          <w:sz w:val="20"/>
          <w:szCs w:val="20"/>
        </w:rPr>
        <w:t xml:space="preserve"> Olsen, W., Gash, V., Sook, K. &amp; Zhang, M. (2018). </w:t>
      </w:r>
      <w:hyperlink r:id="rId5">
        <w:r>
          <w:rPr>
            <w:color w:val="1155CC"/>
            <w:sz w:val="20"/>
            <w:szCs w:val="20"/>
            <w:u w:val="single"/>
          </w:rPr>
          <w:t>The gender pay gap in the UK: evidence from the UKHLS</w:t>
        </w:r>
      </w:hyperlink>
      <w:r>
        <w:rPr>
          <w:sz w:val="20"/>
          <w:szCs w:val="20"/>
        </w:rPr>
        <w:t xml:space="preserve"> (DFE-RR804). London, UK: Department for Education, Government Equalities Office.</w:t>
      </w:r>
    </w:p>
  </w:footnote>
  <w:footnote w:id="7">
    <w:p w14:paraId="7363D0FC" w14:textId="77777777" w:rsidR="003B0E73" w:rsidRDefault="00017256">
      <w:pPr>
        <w:rPr>
          <w:sz w:val="20"/>
          <w:szCs w:val="20"/>
        </w:rPr>
      </w:pPr>
      <w:r>
        <w:rPr>
          <w:rStyle w:val="FootnoteReference"/>
        </w:rPr>
        <w:footnoteRef/>
      </w:r>
      <w:r>
        <w:rPr>
          <w:sz w:val="20"/>
          <w:szCs w:val="20"/>
        </w:rPr>
        <w:t xml:space="preserve"> Olsen, W., Gash, V., </w:t>
      </w:r>
      <w:proofErr w:type="spellStart"/>
      <w:r>
        <w:rPr>
          <w:sz w:val="20"/>
          <w:szCs w:val="20"/>
        </w:rPr>
        <w:t>Vandecasteele</w:t>
      </w:r>
      <w:proofErr w:type="spellEnd"/>
      <w:r>
        <w:rPr>
          <w:sz w:val="20"/>
          <w:szCs w:val="20"/>
        </w:rPr>
        <w:t xml:space="preserve">, L., </w:t>
      </w:r>
      <w:proofErr w:type="spellStart"/>
      <w:r>
        <w:rPr>
          <w:sz w:val="20"/>
          <w:szCs w:val="20"/>
        </w:rPr>
        <w:t>Walthery</w:t>
      </w:r>
      <w:proofErr w:type="spellEnd"/>
      <w:r>
        <w:rPr>
          <w:sz w:val="20"/>
          <w:szCs w:val="20"/>
        </w:rPr>
        <w:t xml:space="preserve">, P., &amp; </w:t>
      </w:r>
      <w:proofErr w:type="spellStart"/>
      <w:r>
        <w:rPr>
          <w:sz w:val="20"/>
          <w:szCs w:val="20"/>
        </w:rPr>
        <w:t>Heuvelman</w:t>
      </w:r>
      <w:proofErr w:type="spellEnd"/>
      <w:r>
        <w:rPr>
          <w:sz w:val="20"/>
          <w:szCs w:val="20"/>
        </w:rPr>
        <w:t xml:space="preserve">, H. (2010). </w:t>
      </w:r>
      <w:hyperlink r:id="rId6">
        <w:r>
          <w:rPr>
            <w:color w:val="1155CC"/>
            <w:sz w:val="20"/>
            <w:szCs w:val="20"/>
            <w:u w:val="single"/>
          </w:rPr>
          <w:t>The Gender Pay Gap in the UK 1995-2007: Research report number 1. Government Equalities Office.</w:t>
        </w:r>
      </w:hyperlink>
    </w:p>
  </w:footnote>
  <w:footnote w:id="8">
    <w:p w14:paraId="57554729" w14:textId="77777777" w:rsidR="003B0E73" w:rsidRDefault="00017256">
      <w:pPr>
        <w:rPr>
          <w:sz w:val="20"/>
          <w:szCs w:val="20"/>
        </w:rPr>
      </w:pPr>
      <w:r>
        <w:rPr>
          <w:rStyle w:val="FootnoteReference"/>
        </w:rPr>
        <w:footnoteRef/>
      </w:r>
      <w:r>
        <w:rPr>
          <w:sz w:val="20"/>
          <w:szCs w:val="20"/>
        </w:rPr>
        <w:t xml:space="preserve"> Olsen, W., Gash, V., Sook, K. &amp; Zhang, M. (2018). </w:t>
      </w:r>
      <w:hyperlink r:id="rId7">
        <w:r>
          <w:rPr>
            <w:color w:val="1155CC"/>
            <w:sz w:val="20"/>
            <w:szCs w:val="20"/>
            <w:u w:val="single"/>
          </w:rPr>
          <w:t>The gender pay gap in the UK: evidence from the UKHLS</w:t>
        </w:r>
      </w:hyperlink>
      <w:r>
        <w:rPr>
          <w:sz w:val="20"/>
          <w:szCs w:val="20"/>
        </w:rPr>
        <w:t xml:space="preserve"> (DFE-RR804). London, UK: Department for Education, Government Equalities Office.</w:t>
      </w:r>
    </w:p>
  </w:footnote>
  <w:footnote w:id="9">
    <w:p w14:paraId="7D97D438" w14:textId="77777777" w:rsidR="003B0E73" w:rsidRDefault="00017256">
      <w:pPr>
        <w:rPr>
          <w:sz w:val="20"/>
          <w:szCs w:val="20"/>
        </w:rPr>
      </w:pPr>
      <w:r>
        <w:rPr>
          <w:rStyle w:val="FootnoteReference"/>
        </w:rPr>
        <w:footnoteRef/>
      </w:r>
      <w:r>
        <w:rPr>
          <w:sz w:val="20"/>
          <w:szCs w:val="20"/>
        </w:rPr>
        <w:t xml:space="preserve"> Olsen, W., Gash, V., </w:t>
      </w:r>
      <w:proofErr w:type="spellStart"/>
      <w:r>
        <w:rPr>
          <w:sz w:val="20"/>
          <w:szCs w:val="20"/>
        </w:rPr>
        <w:t>Vandecasteele</w:t>
      </w:r>
      <w:proofErr w:type="spellEnd"/>
      <w:r>
        <w:rPr>
          <w:sz w:val="20"/>
          <w:szCs w:val="20"/>
        </w:rPr>
        <w:t xml:space="preserve">, L., </w:t>
      </w:r>
      <w:proofErr w:type="spellStart"/>
      <w:r>
        <w:rPr>
          <w:sz w:val="20"/>
          <w:szCs w:val="20"/>
        </w:rPr>
        <w:t>Walthery</w:t>
      </w:r>
      <w:proofErr w:type="spellEnd"/>
      <w:r>
        <w:rPr>
          <w:sz w:val="20"/>
          <w:szCs w:val="20"/>
        </w:rPr>
        <w:t xml:space="preserve">, P., &amp; </w:t>
      </w:r>
      <w:proofErr w:type="spellStart"/>
      <w:r>
        <w:rPr>
          <w:sz w:val="20"/>
          <w:szCs w:val="20"/>
        </w:rPr>
        <w:t>Heuvelman</w:t>
      </w:r>
      <w:proofErr w:type="spellEnd"/>
      <w:r>
        <w:rPr>
          <w:sz w:val="20"/>
          <w:szCs w:val="20"/>
        </w:rPr>
        <w:t xml:space="preserve">, H. (2010). </w:t>
      </w:r>
      <w:hyperlink r:id="rId8">
        <w:r>
          <w:rPr>
            <w:color w:val="1155CC"/>
            <w:sz w:val="20"/>
            <w:szCs w:val="20"/>
            <w:u w:val="single"/>
          </w:rPr>
          <w:t>The Gender Pay Gap in the UK 1995-2007: Research report number 1. Government Equalities Office.</w:t>
        </w:r>
      </w:hyperlink>
    </w:p>
  </w:footnote>
  <w:footnote w:id="10">
    <w:p w14:paraId="44B570DD" w14:textId="77777777" w:rsidR="003B0E73" w:rsidRDefault="00017256">
      <w:pPr>
        <w:rPr>
          <w:sz w:val="20"/>
          <w:szCs w:val="20"/>
        </w:rPr>
      </w:pPr>
      <w:r>
        <w:rPr>
          <w:rStyle w:val="FootnoteReference"/>
        </w:rPr>
        <w:footnoteRef/>
      </w:r>
      <w:r>
        <w:rPr>
          <w:sz w:val="20"/>
          <w:szCs w:val="20"/>
        </w:rPr>
        <w:t xml:space="preserve"> Olsen, W., Gash, V., Sook, K. &amp; Zhang, M. (2018). </w:t>
      </w:r>
      <w:hyperlink r:id="rId9">
        <w:r>
          <w:rPr>
            <w:color w:val="1155CC"/>
            <w:sz w:val="20"/>
            <w:szCs w:val="20"/>
            <w:u w:val="single"/>
          </w:rPr>
          <w:t>The gender pay gap in the UK: evidence from the UKHLS</w:t>
        </w:r>
      </w:hyperlink>
      <w:r>
        <w:rPr>
          <w:sz w:val="20"/>
          <w:szCs w:val="20"/>
        </w:rPr>
        <w:t xml:space="preserve"> (DFE-RR804). London, UK: Department for Education, Government Equalities Office.</w:t>
      </w:r>
    </w:p>
  </w:footnote>
  <w:footnote w:id="11">
    <w:p w14:paraId="7FB7A653" w14:textId="77777777" w:rsidR="003B0E73" w:rsidRDefault="00017256">
      <w:pPr>
        <w:rPr>
          <w:sz w:val="20"/>
          <w:szCs w:val="20"/>
        </w:rPr>
      </w:pPr>
      <w:r>
        <w:rPr>
          <w:rStyle w:val="FootnoteReference"/>
        </w:rPr>
        <w:footnoteRef/>
      </w:r>
      <w:r>
        <w:rPr>
          <w:sz w:val="20"/>
          <w:szCs w:val="20"/>
        </w:rPr>
        <w:t xml:space="preserve"> Olsen, W., Gash, V., </w:t>
      </w:r>
      <w:proofErr w:type="spellStart"/>
      <w:r>
        <w:rPr>
          <w:sz w:val="20"/>
          <w:szCs w:val="20"/>
        </w:rPr>
        <w:t>Vandecasteele</w:t>
      </w:r>
      <w:proofErr w:type="spellEnd"/>
      <w:r>
        <w:rPr>
          <w:sz w:val="20"/>
          <w:szCs w:val="20"/>
        </w:rPr>
        <w:t xml:space="preserve">, L., </w:t>
      </w:r>
      <w:proofErr w:type="spellStart"/>
      <w:r>
        <w:rPr>
          <w:sz w:val="20"/>
          <w:szCs w:val="20"/>
        </w:rPr>
        <w:t>Walthery</w:t>
      </w:r>
      <w:proofErr w:type="spellEnd"/>
      <w:r>
        <w:rPr>
          <w:sz w:val="20"/>
          <w:szCs w:val="20"/>
        </w:rPr>
        <w:t xml:space="preserve">, P., &amp; </w:t>
      </w:r>
      <w:proofErr w:type="spellStart"/>
      <w:r>
        <w:rPr>
          <w:sz w:val="20"/>
          <w:szCs w:val="20"/>
        </w:rPr>
        <w:t>Heuvelman</w:t>
      </w:r>
      <w:proofErr w:type="spellEnd"/>
      <w:r>
        <w:rPr>
          <w:sz w:val="20"/>
          <w:szCs w:val="20"/>
        </w:rPr>
        <w:t xml:space="preserve">, H. (2010). </w:t>
      </w:r>
      <w:hyperlink r:id="rId10">
        <w:r>
          <w:rPr>
            <w:color w:val="1155CC"/>
            <w:sz w:val="20"/>
            <w:szCs w:val="20"/>
            <w:u w:val="single"/>
          </w:rPr>
          <w:t>The Gender Pay Gap in the UK 1995-2007: Research report number 1. Government Equalities Office.</w:t>
        </w:r>
      </w:hyperlink>
    </w:p>
  </w:footnote>
  <w:footnote w:id="12">
    <w:p w14:paraId="4374A867" w14:textId="77777777" w:rsidR="003B0E73" w:rsidRDefault="00017256">
      <w:pPr>
        <w:rPr>
          <w:sz w:val="20"/>
          <w:szCs w:val="20"/>
        </w:rPr>
      </w:pPr>
      <w:r>
        <w:rPr>
          <w:rStyle w:val="FootnoteReference"/>
        </w:rPr>
        <w:footnoteRef/>
      </w:r>
      <w:r>
        <w:rPr>
          <w:sz w:val="20"/>
          <w:szCs w:val="20"/>
        </w:rPr>
        <w:t xml:space="preserve"> Olsen, W., Gash, V., Sook, K. &amp; Zhang, M. (2018). </w:t>
      </w:r>
      <w:hyperlink r:id="rId11">
        <w:r>
          <w:rPr>
            <w:color w:val="1155CC"/>
            <w:sz w:val="20"/>
            <w:szCs w:val="20"/>
            <w:u w:val="single"/>
          </w:rPr>
          <w:t>The gender pay gap in the UK: evidence from the UKHLS</w:t>
        </w:r>
      </w:hyperlink>
      <w:r>
        <w:rPr>
          <w:sz w:val="20"/>
          <w:szCs w:val="20"/>
        </w:rPr>
        <w:t xml:space="preserve"> (DFE-RR804). London, UK: Department for Education, Government Equalities Office.</w:t>
      </w:r>
    </w:p>
  </w:footnote>
  <w:footnote w:id="13">
    <w:p w14:paraId="6D6D40C5" w14:textId="77777777" w:rsidR="003B0E73" w:rsidRDefault="00017256">
      <w:pPr>
        <w:rPr>
          <w:sz w:val="20"/>
          <w:szCs w:val="20"/>
        </w:rPr>
      </w:pPr>
      <w:r>
        <w:rPr>
          <w:rStyle w:val="FootnoteReference"/>
        </w:rPr>
        <w:footnoteRef/>
      </w:r>
      <w:r>
        <w:rPr>
          <w:sz w:val="20"/>
          <w:szCs w:val="20"/>
        </w:rPr>
        <w:t xml:space="preserve"> Olsen, W., Gash, V., </w:t>
      </w:r>
      <w:proofErr w:type="spellStart"/>
      <w:r>
        <w:rPr>
          <w:sz w:val="20"/>
          <w:szCs w:val="20"/>
        </w:rPr>
        <w:t>Vandecasteele</w:t>
      </w:r>
      <w:proofErr w:type="spellEnd"/>
      <w:r>
        <w:rPr>
          <w:sz w:val="20"/>
          <w:szCs w:val="20"/>
        </w:rPr>
        <w:t xml:space="preserve">, L., </w:t>
      </w:r>
      <w:proofErr w:type="spellStart"/>
      <w:r>
        <w:rPr>
          <w:sz w:val="20"/>
          <w:szCs w:val="20"/>
        </w:rPr>
        <w:t>Walthery</w:t>
      </w:r>
      <w:proofErr w:type="spellEnd"/>
      <w:r>
        <w:rPr>
          <w:sz w:val="20"/>
          <w:szCs w:val="20"/>
        </w:rPr>
        <w:t xml:space="preserve">, P., &amp; </w:t>
      </w:r>
      <w:proofErr w:type="spellStart"/>
      <w:r>
        <w:rPr>
          <w:sz w:val="20"/>
          <w:szCs w:val="20"/>
        </w:rPr>
        <w:t>Heuvelman</w:t>
      </w:r>
      <w:proofErr w:type="spellEnd"/>
      <w:r>
        <w:rPr>
          <w:sz w:val="20"/>
          <w:szCs w:val="20"/>
        </w:rPr>
        <w:t xml:space="preserve">, H. (2010). </w:t>
      </w:r>
      <w:hyperlink r:id="rId12">
        <w:r>
          <w:rPr>
            <w:color w:val="1155CC"/>
            <w:sz w:val="20"/>
            <w:szCs w:val="20"/>
            <w:u w:val="single"/>
          </w:rPr>
          <w:t>The Gender Pay Gap in the UK 1995-2007: Research report number 1. Government Equalities Office.</w:t>
        </w:r>
      </w:hyperlink>
    </w:p>
  </w:footnote>
  <w:footnote w:id="14">
    <w:p w14:paraId="135ABF1A" w14:textId="77777777" w:rsidR="003B0E73" w:rsidRDefault="00017256">
      <w:pPr>
        <w:rPr>
          <w:sz w:val="20"/>
          <w:szCs w:val="20"/>
        </w:rPr>
      </w:pPr>
      <w:r>
        <w:rPr>
          <w:rStyle w:val="FootnoteReference"/>
        </w:rPr>
        <w:footnoteRef/>
      </w:r>
      <w:r>
        <w:rPr>
          <w:sz w:val="20"/>
          <w:szCs w:val="20"/>
        </w:rPr>
        <w:t xml:space="preserve"> </w:t>
      </w:r>
      <w:hyperlink r:id="rId13">
        <w:r>
          <w:rPr>
            <w:color w:val="1155CC"/>
            <w:sz w:val="20"/>
            <w:szCs w:val="20"/>
            <w:u w:val="single"/>
          </w:rPr>
          <w:t>Rapid Evidence Assessment Toolkit</w:t>
        </w:r>
      </w:hyperlink>
    </w:p>
  </w:footnote>
  <w:footnote w:id="15">
    <w:p w14:paraId="1B6213E7" w14:textId="77777777" w:rsidR="003B0E73" w:rsidRDefault="00017256">
      <w:pPr>
        <w:rPr>
          <w:sz w:val="20"/>
          <w:szCs w:val="20"/>
        </w:rPr>
      </w:pPr>
      <w:r>
        <w:rPr>
          <w:rStyle w:val="FootnoteReference"/>
        </w:rPr>
        <w:footnoteRef/>
      </w:r>
      <w:r>
        <w:rPr>
          <w:sz w:val="20"/>
          <w:szCs w:val="20"/>
        </w:rPr>
        <w:t xml:space="preserve"> </w:t>
      </w:r>
      <w:hyperlink r:id="rId14">
        <w:r>
          <w:rPr>
            <w:color w:val="1155CC"/>
            <w:sz w:val="20"/>
            <w:szCs w:val="20"/>
            <w:u w:val="single"/>
          </w:rPr>
          <w:t>The Aqua Book: guidance on producing quality analysis</w:t>
        </w:r>
      </w:hyperlink>
    </w:p>
  </w:footnote>
  <w:footnote w:id="16">
    <w:p w14:paraId="1CA23506" w14:textId="77777777" w:rsidR="003B0E73" w:rsidRDefault="00017256">
      <w:pPr>
        <w:rPr>
          <w:sz w:val="20"/>
          <w:szCs w:val="20"/>
        </w:rPr>
      </w:pPr>
      <w:r>
        <w:rPr>
          <w:rStyle w:val="FootnoteReference"/>
        </w:rPr>
        <w:footnoteRef/>
      </w:r>
      <w:r>
        <w:rPr>
          <w:sz w:val="20"/>
          <w:szCs w:val="20"/>
        </w:rPr>
        <w:t xml:space="preserve"> Olsen, W., Gash, V., Sook, K. &amp; Zhang, M. (2018). </w:t>
      </w:r>
      <w:hyperlink r:id="rId15">
        <w:r>
          <w:rPr>
            <w:color w:val="1155CC"/>
            <w:sz w:val="20"/>
            <w:szCs w:val="20"/>
            <w:u w:val="single"/>
          </w:rPr>
          <w:t>The gender pay gap in the UK: evidence from the UKHLS</w:t>
        </w:r>
      </w:hyperlink>
      <w:r>
        <w:rPr>
          <w:sz w:val="20"/>
          <w:szCs w:val="20"/>
        </w:rPr>
        <w:t xml:space="preserve"> (DFE-RR804). London, UK: Department for Education, Government Equalities Office.</w:t>
      </w:r>
    </w:p>
  </w:footnote>
  <w:footnote w:id="17">
    <w:p w14:paraId="15D8F230" w14:textId="77777777" w:rsidR="003B0E73" w:rsidRDefault="00017256">
      <w:pPr>
        <w:rPr>
          <w:sz w:val="20"/>
          <w:szCs w:val="20"/>
        </w:rPr>
      </w:pPr>
      <w:r>
        <w:rPr>
          <w:rStyle w:val="FootnoteReference"/>
        </w:rPr>
        <w:footnoteRef/>
      </w:r>
      <w:r>
        <w:rPr>
          <w:sz w:val="20"/>
          <w:szCs w:val="20"/>
        </w:rPr>
        <w:t xml:space="preserve"> </w:t>
      </w:r>
      <w:hyperlink r:id="rId16">
        <w:r>
          <w:rPr>
            <w:color w:val="1155CC"/>
            <w:sz w:val="20"/>
            <w:szCs w:val="20"/>
            <w:u w:val="single"/>
          </w:rPr>
          <w:t>Guidance and tools for digital accessibility</w:t>
        </w:r>
      </w:hyperlink>
    </w:p>
  </w:footnote>
  <w:footnote w:id="18">
    <w:p w14:paraId="3ECFC818" w14:textId="77777777" w:rsidR="003B0E73" w:rsidRDefault="00017256">
      <w:pPr>
        <w:rPr>
          <w:sz w:val="20"/>
          <w:szCs w:val="20"/>
        </w:rPr>
      </w:pPr>
      <w:r>
        <w:rPr>
          <w:rStyle w:val="FootnoteReference"/>
        </w:rPr>
        <w:footnoteRef/>
      </w:r>
      <w:r>
        <w:rPr>
          <w:sz w:val="20"/>
          <w:szCs w:val="20"/>
        </w:rPr>
        <w:t xml:space="preserve"> </w:t>
      </w:r>
      <w:hyperlink r:id="rId17">
        <w:r>
          <w:rPr>
            <w:color w:val="1155CC"/>
            <w:sz w:val="20"/>
            <w:szCs w:val="20"/>
            <w:u w:val="single"/>
          </w:rPr>
          <w:t>The Aqua Book: guidance on producing quality analysis</w:t>
        </w:r>
      </w:hyperlink>
    </w:p>
  </w:footnote>
  <w:footnote w:id="19">
    <w:p w14:paraId="443C2473" w14:textId="77777777" w:rsidR="003B0E73" w:rsidRDefault="00017256">
      <w:pPr>
        <w:rPr>
          <w:sz w:val="20"/>
          <w:szCs w:val="20"/>
        </w:rPr>
      </w:pPr>
      <w:r>
        <w:rPr>
          <w:rStyle w:val="FootnoteReference"/>
        </w:rPr>
        <w:footnoteRef/>
      </w:r>
      <w:r>
        <w:rPr>
          <w:sz w:val="20"/>
          <w:szCs w:val="20"/>
        </w:rPr>
        <w:t xml:space="preserve"> Olsen, W., Gash, V., Sook, K. &amp; Zhang, M. (2018). </w:t>
      </w:r>
      <w:hyperlink r:id="rId18">
        <w:r>
          <w:rPr>
            <w:color w:val="1155CC"/>
            <w:sz w:val="20"/>
            <w:szCs w:val="20"/>
            <w:u w:val="single"/>
          </w:rPr>
          <w:t>The gender pay gap in the UK: evidence from the UKHLS</w:t>
        </w:r>
      </w:hyperlink>
      <w:r>
        <w:rPr>
          <w:sz w:val="20"/>
          <w:szCs w:val="20"/>
        </w:rPr>
        <w:t xml:space="preserve"> (DFE-RR804). London, UK: Department for Education, Government Equalities Office.</w:t>
      </w:r>
    </w:p>
  </w:footnote>
  <w:footnote w:id="20">
    <w:p w14:paraId="524F208D" w14:textId="77777777" w:rsidR="003B0E73" w:rsidRDefault="00017256">
      <w:pPr>
        <w:rPr>
          <w:sz w:val="20"/>
          <w:szCs w:val="20"/>
        </w:rPr>
      </w:pPr>
      <w:r>
        <w:rPr>
          <w:rStyle w:val="FootnoteReference"/>
        </w:rPr>
        <w:footnoteRef/>
      </w:r>
      <w:r>
        <w:rPr>
          <w:sz w:val="20"/>
          <w:szCs w:val="20"/>
        </w:rPr>
        <w:t xml:space="preserve"> Olsen, W., Gash, V., </w:t>
      </w:r>
      <w:proofErr w:type="spellStart"/>
      <w:r>
        <w:rPr>
          <w:sz w:val="20"/>
          <w:szCs w:val="20"/>
        </w:rPr>
        <w:t>Vandecasteele</w:t>
      </w:r>
      <w:proofErr w:type="spellEnd"/>
      <w:r>
        <w:rPr>
          <w:sz w:val="20"/>
          <w:szCs w:val="20"/>
        </w:rPr>
        <w:t xml:space="preserve">, L., </w:t>
      </w:r>
      <w:proofErr w:type="spellStart"/>
      <w:r>
        <w:rPr>
          <w:sz w:val="20"/>
          <w:szCs w:val="20"/>
        </w:rPr>
        <w:t>Walthery</w:t>
      </w:r>
      <w:proofErr w:type="spellEnd"/>
      <w:r>
        <w:rPr>
          <w:sz w:val="20"/>
          <w:szCs w:val="20"/>
        </w:rPr>
        <w:t xml:space="preserve">, P., &amp; </w:t>
      </w:r>
      <w:proofErr w:type="spellStart"/>
      <w:r>
        <w:rPr>
          <w:sz w:val="20"/>
          <w:szCs w:val="20"/>
        </w:rPr>
        <w:t>Heuvelman</w:t>
      </w:r>
      <w:proofErr w:type="spellEnd"/>
      <w:r>
        <w:rPr>
          <w:sz w:val="20"/>
          <w:szCs w:val="20"/>
        </w:rPr>
        <w:t xml:space="preserve">, H. (2010). </w:t>
      </w:r>
      <w:hyperlink r:id="rId19">
        <w:r>
          <w:rPr>
            <w:color w:val="1155CC"/>
            <w:sz w:val="20"/>
            <w:szCs w:val="20"/>
            <w:u w:val="single"/>
          </w:rPr>
          <w:t>The Gender Pay Gap in the UK 1995-2007: Research report number 1. Government Equalities Office.</w:t>
        </w:r>
      </w:hyperlink>
    </w:p>
  </w:footnote>
  <w:footnote w:id="21">
    <w:p w14:paraId="40A093B8" w14:textId="77777777" w:rsidR="003B0E73" w:rsidRDefault="00017256">
      <w:pPr>
        <w:rPr>
          <w:sz w:val="20"/>
          <w:szCs w:val="20"/>
        </w:rPr>
      </w:pPr>
      <w:r>
        <w:rPr>
          <w:rStyle w:val="FootnoteReference"/>
        </w:rPr>
        <w:footnoteRef/>
      </w:r>
      <w:r>
        <w:rPr>
          <w:sz w:val="20"/>
          <w:szCs w:val="20"/>
        </w:rPr>
        <w:t xml:space="preserve"> Olsen, W., Gash, V., Sook, K. &amp; Zhang, M. (2018). </w:t>
      </w:r>
      <w:hyperlink r:id="rId20">
        <w:r>
          <w:rPr>
            <w:color w:val="1155CC"/>
            <w:sz w:val="20"/>
            <w:szCs w:val="20"/>
            <w:u w:val="single"/>
          </w:rPr>
          <w:t>The gender pay gap in the UK: evidence from the UKHLS</w:t>
        </w:r>
      </w:hyperlink>
      <w:r>
        <w:rPr>
          <w:sz w:val="20"/>
          <w:szCs w:val="20"/>
        </w:rPr>
        <w:t xml:space="preserve"> (DFE-RR804). London, UK: Department for Education, Government Equalities Office.</w:t>
      </w:r>
    </w:p>
  </w:footnote>
  <w:footnote w:id="22">
    <w:p w14:paraId="6B4FD328" w14:textId="77777777" w:rsidR="003B0E73" w:rsidRDefault="00017256">
      <w:pPr>
        <w:rPr>
          <w:sz w:val="20"/>
          <w:szCs w:val="20"/>
        </w:rPr>
      </w:pPr>
      <w:r>
        <w:rPr>
          <w:rStyle w:val="FootnoteReference"/>
        </w:rPr>
        <w:footnoteRef/>
      </w:r>
      <w:r>
        <w:rPr>
          <w:sz w:val="20"/>
          <w:szCs w:val="20"/>
        </w:rPr>
        <w:t xml:space="preserve"> Olsen, W., Gash, V., </w:t>
      </w:r>
      <w:proofErr w:type="spellStart"/>
      <w:r>
        <w:rPr>
          <w:sz w:val="20"/>
          <w:szCs w:val="20"/>
        </w:rPr>
        <w:t>Vandecasteele</w:t>
      </w:r>
      <w:proofErr w:type="spellEnd"/>
      <w:r>
        <w:rPr>
          <w:sz w:val="20"/>
          <w:szCs w:val="20"/>
        </w:rPr>
        <w:t xml:space="preserve">, L., </w:t>
      </w:r>
      <w:proofErr w:type="spellStart"/>
      <w:r>
        <w:rPr>
          <w:sz w:val="20"/>
          <w:szCs w:val="20"/>
        </w:rPr>
        <w:t>Walthery</w:t>
      </w:r>
      <w:proofErr w:type="spellEnd"/>
      <w:r>
        <w:rPr>
          <w:sz w:val="20"/>
          <w:szCs w:val="20"/>
        </w:rPr>
        <w:t xml:space="preserve">, P., &amp; </w:t>
      </w:r>
      <w:proofErr w:type="spellStart"/>
      <w:r>
        <w:rPr>
          <w:sz w:val="20"/>
          <w:szCs w:val="20"/>
        </w:rPr>
        <w:t>Heuvelman</w:t>
      </w:r>
      <w:proofErr w:type="spellEnd"/>
      <w:r>
        <w:rPr>
          <w:sz w:val="20"/>
          <w:szCs w:val="20"/>
        </w:rPr>
        <w:t xml:space="preserve">, H. (2010). </w:t>
      </w:r>
      <w:hyperlink r:id="rId21">
        <w:r>
          <w:rPr>
            <w:color w:val="1155CC"/>
            <w:sz w:val="20"/>
            <w:szCs w:val="20"/>
            <w:u w:val="single"/>
          </w:rPr>
          <w:t>The Gender Pay Gap in the UK 1995-2007: Research report number 1. Government Equalities Office.</w:t>
        </w:r>
      </w:hyperlink>
    </w:p>
  </w:footnote>
  <w:footnote w:id="23">
    <w:p w14:paraId="70649326" w14:textId="77777777" w:rsidR="003B0E73" w:rsidRDefault="00017256">
      <w:pPr>
        <w:rPr>
          <w:sz w:val="20"/>
          <w:szCs w:val="20"/>
        </w:rPr>
      </w:pPr>
      <w:r>
        <w:rPr>
          <w:rStyle w:val="FootnoteReference"/>
        </w:rPr>
        <w:footnoteRef/>
      </w:r>
      <w:r>
        <w:rPr>
          <w:sz w:val="20"/>
          <w:szCs w:val="20"/>
        </w:rPr>
        <w:t xml:space="preserve"> UK Government Analytical Community. (2020). </w:t>
      </w:r>
      <w:hyperlink r:id="rId22" w:anchor="citing-the-book">
        <w:r>
          <w:rPr>
            <w:color w:val="1155CC"/>
            <w:sz w:val="20"/>
            <w:szCs w:val="20"/>
            <w:u w:val="single"/>
          </w:rPr>
          <w:t>Quality assurance of code for analysis and research (version 2024.1)</w:t>
        </w:r>
      </w:hyperlink>
      <w:r>
        <w:rPr>
          <w:sz w:val="20"/>
          <w:szCs w:val="20"/>
        </w:rPr>
        <w:t>. Office for National Statistics, Analytical Standards and Pipelines hub</w:t>
      </w:r>
    </w:p>
  </w:footnote>
  <w:footnote w:id="24">
    <w:p w14:paraId="5D6E0F1D" w14:textId="77777777" w:rsidR="003B0E73" w:rsidRDefault="00017256">
      <w:pPr>
        <w:rPr>
          <w:sz w:val="20"/>
          <w:szCs w:val="20"/>
        </w:rPr>
      </w:pPr>
      <w:r>
        <w:rPr>
          <w:rStyle w:val="FootnoteReference"/>
        </w:rPr>
        <w:footnoteRef/>
      </w:r>
      <w:r>
        <w:rPr>
          <w:sz w:val="20"/>
          <w:szCs w:val="20"/>
        </w:rPr>
        <w:t xml:space="preserve"> </w:t>
      </w:r>
      <w:hyperlink r:id="rId23">
        <w:r>
          <w:rPr>
            <w:color w:val="1155CC"/>
            <w:sz w:val="20"/>
            <w:szCs w:val="20"/>
            <w:u w:val="single"/>
          </w:rPr>
          <w:t>The Aqua Book: guidance on producing quality analysis</w:t>
        </w:r>
      </w:hyperlink>
    </w:p>
  </w:footnote>
  <w:footnote w:id="25">
    <w:p w14:paraId="6246C48B" w14:textId="77777777" w:rsidR="003B0E73" w:rsidRDefault="00017256">
      <w:pPr>
        <w:rPr>
          <w:sz w:val="20"/>
          <w:szCs w:val="20"/>
        </w:rPr>
      </w:pPr>
      <w:r>
        <w:rPr>
          <w:rStyle w:val="FootnoteReference"/>
        </w:rPr>
        <w:footnoteRef/>
      </w:r>
      <w:r>
        <w:rPr>
          <w:sz w:val="20"/>
          <w:szCs w:val="20"/>
        </w:rPr>
        <w:t xml:space="preserve"> </w:t>
      </w:r>
      <w:hyperlink r:id="rId24">
        <w:r>
          <w:rPr>
            <w:color w:val="1155CC"/>
            <w:sz w:val="20"/>
            <w:szCs w:val="20"/>
            <w:u w:val="single"/>
          </w:rPr>
          <w:t>Guidance and tools for digital accessibility</w:t>
        </w:r>
      </w:hyperlink>
    </w:p>
  </w:footnote>
  <w:footnote w:id="26">
    <w:p w14:paraId="4FEEEFBF" w14:textId="77777777" w:rsidR="003B0E73" w:rsidRDefault="00017256">
      <w:pPr>
        <w:rPr>
          <w:sz w:val="20"/>
          <w:szCs w:val="20"/>
        </w:rPr>
      </w:pPr>
      <w:r>
        <w:rPr>
          <w:rStyle w:val="FootnoteReference"/>
        </w:rPr>
        <w:footnoteRef/>
      </w:r>
      <w:r>
        <w:rPr>
          <w:sz w:val="20"/>
          <w:szCs w:val="20"/>
        </w:rPr>
        <w:t xml:space="preserve"> </w:t>
      </w:r>
      <w:hyperlink r:id="rId25">
        <w:r>
          <w:rPr>
            <w:color w:val="1155CC"/>
            <w:sz w:val="20"/>
            <w:szCs w:val="20"/>
            <w:u w:val="single"/>
          </w:rPr>
          <w:t>The Aqua Book: guidance on producing quality analysis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B6BB4" w14:textId="77777777" w:rsidR="003B0E73" w:rsidRDefault="003B0E73">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2F5C4" w14:textId="77777777" w:rsidR="003B0E73" w:rsidRDefault="00017256">
    <w:pPr>
      <w:tabs>
        <w:tab w:val="center" w:pos="4153"/>
        <w:tab w:val="right" w:pos="8306"/>
      </w:tabs>
      <w:ind w:left="720"/>
      <w:jc w:val="center"/>
      <w:rPr>
        <w:sz w:val="20"/>
        <w:szCs w:val="20"/>
      </w:rPr>
    </w:pPr>
    <w:r>
      <w:rPr>
        <w:sz w:val="20"/>
        <w:szCs w:val="20"/>
      </w:rPr>
      <w:t>OFFICIAL</w:t>
    </w:r>
    <w:r>
      <w:rPr>
        <w:noProof/>
      </w:rPr>
      <w:drawing>
        <wp:anchor distT="0" distB="0" distL="114300" distR="114300" simplePos="0" relativeHeight="251658240" behindDoc="0" locked="0" layoutInCell="1" hidden="0" allowOverlap="1" wp14:anchorId="3FA7F4FD" wp14:editId="296E6248">
          <wp:simplePos x="0" y="0"/>
          <wp:positionH relativeFrom="column">
            <wp:posOffset>-304795</wp:posOffset>
          </wp:positionH>
          <wp:positionV relativeFrom="paragraph">
            <wp:posOffset>0</wp:posOffset>
          </wp:positionV>
          <wp:extent cx="876300" cy="723900"/>
          <wp:effectExtent l="0" t="0" r="0" b="0"/>
          <wp:wrapSquare wrapText="bothSides" distT="0" distB="0" distL="114300" distR="114300"/>
          <wp:docPr id="30" name="image2.png" descr="CCS_2935_SML_AW"/>
          <wp:cNvGraphicFramePr/>
          <a:graphic xmlns:a="http://schemas.openxmlformats.org/drawingml/2006/main">
            <a:graphicData uri="http://schemas.openxmlformats.org/drawingml/2006/picture">
              <pic:pic xmlns:pic="http://schemas.openxmlformats.org/drawingml/2006/picture">
                <pic:nvPicPr>
                  <pic:cNvPr id="0" name="image2.png" descr="CCS_2935_SML_AW"/>
                  <pic:cNvPicPr preferRelativeResize="0"/>
                </pic:nvPicPr>
                <pic:blipFill>
                  <a:blip r:embed="rId1"/>
                  <a:srcRect/>
                  <a:stretch>
                    <a:fillRect/>
                  </a:stretch>
                </pic:blipFill>
                <pic:spPr>
                  <a:xfrm>
                    <a:off x="0" y="0"/>
                    <a:ext cx="876300" cy="723900"/>
                  </a:xfrm>
                  <a:prstGeom prst="rect">
                    <a:avLst/>
                  </a:prstGeom>
                  <a:ln/>
                </pic:spPr>
              </pic:pic>
            </a:graphicData>
          </a:graphic>
        </wp:anchor>
      </w:drawing>
    </w:r>
  </w:p>
  <w:p w14:paraId="4D1B3180" w14:textId="77777777" w:rsidR="003B0E73" w:rsidRDefault="00017256">
    <w:pPr>
      <w:tabs>
        <w:tab w:val="center" w:pos="4153"/>
        <w:tab w:val="right" w:pos="8306"/>
      </w:tabs>
      <w:ind w:left="720"/>
      <w:jc w:val="center"/>
      <w:rPr>
        <w:sz w:val="20"/>
        <w:szCs w:val="20"/>
      </w:rPr>
    </w:pPr>
    <w:r>
      <w:rPr>
        <w:sz w:val="20"/>
        <w:szCs w:val="20"/>
      </w:rPr>
      <w:t>Attachment 3 – Statement of Requirements</w:t>
    </w:r>
  </w:p>
  <w:p w14:paraId="2746D86A" w14:textId="77777777" w:rsidR="003B0E73" w:rsidRDefault="00017256">
    <w:pPr>
      <w:tabs>
        <w:tab w:val="center" w:pos="4153"/>
        <w:tab w:val="right" w:pos="8306"/>
      </w:tabs>
      <w:ind w:left="720"/>
      <w:jc w:val="center"/>
      <w:rPr>
        <w:sz w:val="20"/>
        <w:szCs w:val="20"/>
      </w:rPr>
    </w:pPr>
    <w:r>
      <w:rPr>
        <w:sz w:val="20"/>
        <w:szCs w:val="20"/>
      </w:rPr>
      <w:t>Provision of Gender Pay Gap Decomposition Analysis</w:t>
    </w:r>
  </w:p>
  <w:p w14:paraId="63E916F9" w14:textId="77777777" w:rsidR="003B0E73" w:rsidRDefault="00017256">
    <w:pPr>
      <w:tabs>
        <w:tab w:val="center" w:pos="4153"/>
        <w:tab w:val="right" w:pos="8306"/>
      </w:tabs>
      <w:ind w:left="720"/>
      <w:jc w:val="center"/>
      <w:rPr>
        <w:sz w:val="20"/>
        <w:szCs w:val="20"/>
      </w:rPr>
    </w:pPr>
    <w:r>
      <w:rPr>
        <w:sz w:val="20"/>
        <w:szCs w:val="20"/>
      </w:rPr>
      <w:t xml:space="preserve">Contract Reference: </w:t>
    </w:r>
    <w:r>
      <w:rPr>
        <w:color w:val="181818"/>
        <w:sz w:val="21"/>
        <w:szCs w:val="21"/>
        <w:highlight w:val="white"/>
      </w:rPr>
      <w:t>CCCO25A01</w:t>
    </w:r>
  </w:p>
  <w:p w14:paraId="00233EB4" w14:textId="77777777" w:rsidR="003B0E73" w:rsidRDefault="003B0E73">
    <w:pPr>
      <w:pBdr>
        <w:top w:val="nil"/>
        <w:left w:val="nil"/>
        <w:bottom w:val="nil"/>
        <w:right w:val="nil"/>
        <w:between w:val="nil"/>
      </w:pBdr>
      <w:tabs>
        <w:tab w:val="center" w:pos="4153"/>
        <w:tab w:val="right" w:pos="8306"/>
      </w:tabs>
      <w:jc w:val="center"/>
      <w:rPr>
        <w:color w:val="000000"/>
        <w:sz w:val="20"/>
        <w:szCs w:val="20"/>
        <w:highlight w:val="yellow"/>
      </w:rPr>
    </w:pPr>
  </w:p>
  <w:p w14:paraId="6329369C" w14:textId="77777777" w:rsidR="003B0E73" w:rsidRDefault="00017256">
    <w:pPr>
      <w:pBdr>
        <w:top w:val="nil"/>
        <w:left w:val="nil"/>
        <w:bottom w:val="nil"/>
        <w:right w:val="nil"/>
        <w:between w:val="nil"/>
      </w:pBdr>
      <w:tabs>
        <w:tab w:val="center" w:pos="4153"/>
        <w:tab w:val="right" w:pos="8306"/>
      </w:tabs>
      <w:rPr>
        <w:color w:val="000000"/>
      </w:rPr>
    </w:pPr>
    <w:r>
      <w:rPr>
        <w:noProof/>
      </w:rPr>
      <mc:AlternateContent>
        <mc:Choice Requires="wps">
          <w:drawing>
            <wp:anchor distT="0" distB="0" distL="114300" distR="114300" simplePos="0" relativeHeight="251659264" behindDoc="0" locked="0" layoutInCell="1" hidden="0" allowOverlap="1" wp14:anchorId="0ABD2BDE" wp14:editId="1648909C">
              <wp:simplePos x="0" y="0"/>
              <wp:positionH relativeFrom="column">
                <wp:posOffset>-304799</wp:posOffset>
              </wp:positionH>
              <wp:positionV relativeFrom="paragraph">
                <wp:posOffset>88900</wp:posOffset>
              </wp:positionV>
              <wp:extent cx="0" cy="12700"/>
              <wp:effectExtent l="0" t="0" r="0" b="0"/>
              <wp:wrapNone/>
              <wp:docPr id="28" name="Straight Arrow Connector 28"/>
              <wp:cNvGraphicFramePr/>
              <a:graphic xmlns:a="http://schemas.openxmlformats.org/drawingml/2006/main">
                <a:graphicData uri="http://schemas.microsoft.com/office/word/2010/wordprocessingShape">
                  <wps:wsp>
                    <wps:cNvCnPr/>
                    <wps:spPr>
                      <a:xfrm>
                        <a:off x="2321813" y="3780000"/>
                        <a:ext cx="6048375"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-304799</wp:posOffset>
              </wp:positionH>
              <wp:positionV relativeFrom="paragraph">
                <wp:posOffset>88900</wp:posOffset>
              </wp:positionV>
              <wp:extent cx="0" cy="12700"/>
              <wp:effectExtent b="0" l="0" r="0" t="0"/>
              <wp:wrapNone/>
              <wp:docPr id="28"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0" cy="12700"/>
                      </a:xfrm>
                      <a:prstGeom prst="rect"/>
                      <a:ln/>
                    </pic:spPr>
                  </pic:pic>
                </a:graphicData>
              </a:graphic>
            </wp:anchor>
          </w:drawing>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642A2" w14:textId="77777777" w:rsidR="003B0E73" w:rsidRDefault="003B0E73">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E5399"/>
    <w:multiLevelType w:val="multilevel"/>
    <w:tmpl w:val="B76C384E"/>
    <w:lvl w:ilvl="0">
      <w:start w:val="1"/>
      <w:numFmt w:val="bullet"/>
      <w:pStyle w:val="ListNumber2"/>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16B97C45"/>
    <w:multiLevelType w:val="multilevel"/>
    <w:tmpl w:val="91D62814"/>
    <w:lvl w:ilvl="0">
      <w:start w:val="1"/>
      <w:numFmt w:val="decimal"/>
      <w:lvlText w:val="%1."/>
      <w:lvlJc w:val="left"/>
      <w:pPr>
        <w:ind w:left="720" w:hanging="720"/>
      </w:pPr>
      <w:rPr>
        <w:smallCaps w:val="0"/>
      </w:rPr>
    </w:lvl>
    <w:lvl w:ilvl="1">
      <w:start w:val="1"/>
      <w:numFmt w:val="decimal"/>
      <w:lvlText w:val="%1.%2"/>
      <w:lvlJc w:val="left"/>
      <w:pPr>
        <w:ind w:left="720" w:hanging="720"/>
      </w:pPr>
      <w:rPr>
        <w:b w:val="0"/>
        <w:smallCaps w:val="0"/>
        <w:sz w:val="24"/>
        <w:szCs w:val="24"/>
      </w:rPr>
    </w:lvl>
    <w:lvl w:ilvl="2">
      <w:start w:val="1"/>
      <w:numFmt w:val="decimal"/>
      <w:pStyle w:val="TOC5"/>
      <w:lvlText w:val="%1.%2.%3"/>
      <w:lvlJc w:val="left"/>
      <w:pPr>
        <w:ind w:left="1800" w:hanging="1080"/>
      </w:pPr>
      <w:rPr>
        <w:b w:val="0"/>
        <w:smallCaps w:val="0"/>
      </w:rPr>
    </w:lvl>
    <w:lvl w:ilvl="3">
      <w:start w:val="1"/>
      <w:numFmt w:val="decimal"/>
      <w:pStyle w:val="TOC6"/>
      <w:lvlText w:val="%1.%2.%3.%4"/>
      <w:lvlJc w:val="left"/>
      <w:pPr>
        <w:ind w:left="2880" w:hanging="1080"/>
      </w:pPr>
      <w:rPr>
        <w:smallCaps w:val="0"/>
      </w:rPr>
    </w:lvl>
    <w:lvl w:ilvl="4">
      <w:start w:val="1"/>
      <w:numFmt w:val="lowerLetter"/>
      <w:pStyle w:val="TOC7"/>
      <w:lvlText w:val="(%5)"/>
      <w:lvlJc w:val="left"/>
      <w:pPr>
        <w:ind w:left="3600" w:hanging="720"/>
      </w:pPr>
      <w:rPr>
        <w:smallCaps w:val="0"/>
      </w:rPr>
    </w:lvl>
    <w:lvl w:ilvl="5">
      <w:start w:val="1"/>
      <w:numFmt w:val="lowerRoman"/>
      <w:pStyle w:val="TOC8"/>
      <w:lvlText w:val="(%6)"/>
      <w:lvlJc w:val="left"/>
      <w:pPr>
        <w:ind w:left="4320" w:hanging="720"/>
      </w:pPr>
      <w:rPr>
        <w:smallCaps w:val="0"/>
      </w:rPr>
    </w:lvl>
    <w:lvl w:ilvl="6">
      <w:start w:val="1"/>
      <w:numFmt w:val="decimal"/>
      <w:pStyle w:val="TOC9"/>
      <w:lvlText w:val="(%7)"/>
      <w:lvlJc w:val="left"/>
      <w:pPr>
        <w:ind w:left="5040" w:hanging="720"/>
      </w:pPr>
      <w:rPr>
        <w:smallCaps w:val="0"/>
      </w:rPr>
    </w:lvl>
    <w:lvl w:ilvl="7">
      <w:start w:val="1"/>
      <w:numFmt w:val="decimal"/>
      <w:pStyle w:val="Index1"/>
      <w:lvlText w:val=""/>
      <w:lvlJc w:val="left"/>
      <w:pPr>
        <w:ind w:left="5040" w:hanging="720"/>
      </w:pPr>
      <w:rPr>
        <w:smallCaps w:val="0"/>
      </w:rPr>
    </w:lvl>
    <w:lvl w:ilvl="8">
      <w:start w:val="1"/>
      <w:numFmt w:val="decimal"/>
      <w:pStyle w:val="Index2"/>
      <w:lvlText w:val=""/>
      <w:lvlJc w:val="left"/>
      <w:pPr>
        <w:ind w:left="5040" w:hanging="720"/>
      </w:pPr>
      <w:rPr>
        <w:smallCaps w:val="0"/>
      </w:rPr>
    </w:lvl>
  </w:abstractNum>
  <w:abstractNum w:abstractNumId="2" w15:restartNumberingAfterBreak="0">
    <w:nsid w:val="195B7DE1"/>
    <w:multiLevelType w:val="multilevel"/>
    <w:tmpl w:val="E4844452"/>
    <w:lvl w:ilvl="0">
      <w:start w:val="1"/>
      <w:numFmt w:val="bullet"/>
      <w:pStyle w:val="ScheduleL1"/>
      <w:lvlText w:val="●"/>
      <w:lvlJc w:val="left"/>
      <w:pPr>
        <w:ind w:left="720" w:hanging="360"/>
      </w:pPr>
      <w:rPr>
        <w:u w:val="none"/>
      </w:rPr>
    </w:lvl>
    <w:lvl w:ilvl="1">
      <w:start w:val="1"/>
      <w:numFmt w:val="bullet"/>
      <w:pStyle w:val="ScheduleL2"/>
      <w:lvlText w:val="○"/>
      <w:lvlJc w:val="left"/>
      <w:pPr>
        <w:ind w:left="1440" w:hanging="360"/>
      </w:pPr>
      <w:rPr>
        <w:u w:val="none"/>
      </w:rPr>
    </w:lvl>
    <w:lvl w:ilvl="2">
      <w:start w:val="1"/>
      <w:numFmt w:val="bullet"/>
      <w:pStyle w:val="ScheduleL3"/>
      <w:lvlText w:val="■"/>
      <w:lvlJc w:val="left"/>
      <w:pPr>
        <w:ind w:left="2160" w:hanging="360"/>
      </w:pPr>
      <w:rPr>
        <w:u w:val="none"/>
      </w:rPr>
    </w:lvl>
    <w:lvl w:ilvl="3">
      <w:start w:val="1"/>
      <w:numFmt w:val="bullet"/>
      <w:pStyle w:val="ScheduleL4"/>
      <w:lvlText w:val="●"/>
      <w:lvlJc w:val="left"/>
      <w:pPr>
        <w:ind w:left="2880" w:hanging="360"/>
      </w:pPr>
      <w:rPr>
        <w:u w:val="none"/>
      </w:rPr>
    </w:lvl>
    <w:lvl w:ilvl="4">
      <w:start w:val="1"/>
      <w:numFmt w:val="bullet"/>
      <w:pStyle w:val="ScheduleL5"/>
      <w:lvlText w:val="○"/>
      <w:lvlJc w:val="left"/>
      <w:pPr>
        <w:ind w:left="3600" w:hanging="360"/>
      </w:pPr>
      <w:rPr>
        <w:u w:val="none"/>
      </w:rPr>
    </w:lvl>
    <w:lvl w:ilvl="5">
      <w:start w:val="1"/>
      <w:numFmt w:val="bullet"/>
      <w:pStyle w:val="ScheduleL6"/>
      <w:lvlText w:val="■"/>
      <w:lvlJc w:val="left"/>
      <w:pPr>
        <w:ind w:left="4320" w:hanging="360"/>
      </w:pPr>
      <w:rPr>
        <w:u w:val="none"/>
      </w:rPr>
    </w:lvl>
    <w:lvl w:ilvl="6">
      <w:start w:val="1"/>
      <w:numFmt w:val="bullet"/>
      <w:pStyle w:val="ScheduleL7"/>
      <w:lvlText w:val="●"/>
      <w:lvlJc w:val="left"/>
      <w:pPr>
        <w:ind w:left="5040" w:hanging="360"/>
      </w:pPr>
      <w:rPr>
        <w:u w:val="none"/>
      </w:rPr>
    </w:lvl>
    <w:lvl w:ilvl="7">
      <w:start w:val="1"/>
      <w:numFmt w:val="bullet"/>
      <w:pStyle w:val="ScheduleL8"/>
      <w:lvlText w:val="○"/>
      <w:lvlJc w:val="left"/>
      <w:pPr>
        <w:ind w:left="5760" w:hanging="360"/>
      </w:pPr>
      <w:rPr>
        <w:u w:val="none"/>
      </w:rPr>
    </w:lvl>
    <w:lvl w:ilvl="8">
      <w:start w:val="1"/>
      <w:numFmt w:val="bullet"/>
      <w:pStyle w:val="ScheduleL9"/>
      <w:lvlText w:val="■"/>
      <w:lvlJc w:val="left"/>
      <w:pPr>
        <w:ind w:left="6480" w:hanging="360"/>
      </w:pPr>
      <w:rPr>
        <w:u w:val="none"/>
      </w:rPr>
    </w:lvl>
  </w:abstractNum>
  <w:abstractNum w:abstractNumId="3" w15:restartNumberingAfterBreak="0">
    <w:nsid w:val="29D468D7"/>
    <w:multiLevelType w:val="multilevel"/>
    <w:tmpl w:val="A34E603E"/>
    <w:lvl w:ilvl="0">
      <w:start w:val="17"/>
      <w:numFmt w:val="decimal"/>
      <w:pStyle w:val="RecitalNumbering"/>
      <w:lvlText w:val="%1."/>
      <w:lvlJc w:val="left"/>
      <w:pPr>
        <w:ind w:left="720" w:hanging="720"/>
      </w:pPr>
      <w:rPr>
        <w:smallCaps w:val="0"/>
      </w:rPr>
    </w:lvl>
    <w:lvl w:ilvl="1">
      <w:start w:val="2"/>
      <w:numFmt w:val="decimal"/>
      <w:pStyle w:val="RecitalNumbering2"/>
      <w:lvlText w:val="%1.%2"/>
      <w:lvlJc w:val="left"/>
      <w:pPr>
        <w:ind w:left="720" w:hanging="720"/>
      </w:pPr>
      <w:rPr>
        <w:b w:val="0"/>
        <w:smallCaps w:val="0"/>
        <w:sz w:val="24"/>
        <w:szCs w:val="24"/>
      </w:rPr>
    </w:lvl>
    <w:lvl w:ilvl="2">
      <w:start w:val="1"/>
      <w:numFmt w:val="decimal"/>
      <w:pStyle w:val="RecitalNumbering3"/>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15:restartNumberingAfterBreak="0">
    <w:nsid w:val="31280256"/>
    <w:multiLevelType w:val="multilevel"/>
    <w:tmpl w:val="8AF2F7EC"/>
    <w:lvl w:ilvl="0">
      <w:start w:val="1"/>
      <w:numFmt w:val="bullet"/>
      <w:pStyle w:val="ListNumber3"/>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32715E6D"/>
    <w:multiLevelType w:val="multilevel"/>
    <w:tmpl w:val="9FC00BDE"/>
    <w:lvl w:ilvl="0">
      <w:start w:val="1"/>
      <w:numFmt w:val="decimal"/>
      <w:pStyle w:val="AppHead"/>
      <w:lvlText w:val="%1."/>
      <w:lvlJc w:val="left"/>
      <w:pPr>
        <w:ind w:left="720" w:hanging="720"/>
      </w:pPr>
      <w:rPr>
        <w:smallCaps w:val="0"/>
      </w:rPr>
    </w:lvl>
    <w:lvl w:ilvl="1">
      <w:start w:val="1"/>
      <w:numFmt w:val="decimal"/>
      <w:pStyle w:val="AppPart"/>
      <w:lvlText w:val="%1.%2"/>
      <w:lvlJc w:val="left"/>
      <w:pPr>
        <w:ind w:left="720" w:hanging="720"/>
      </w:pPr>
      <w:rPr>
        <w:b w:val="0"/>
        <w:smallCaps w:val="0"/>
        <w:sz w:val="24"/>
        <w:szCs w:val="24"/>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15:restartNumberingAfterBreak="0">
    <w:nsid w:val="4857773C"/>
    <w:multiLevelType w:val="multilevel"/>
    <w:tmpl w:val="39862E74"/>
    <w:lvl w:ilvl="0">
      <w:start w:val="1"/>
      <w:numFmt w:val="upperLetter"/>
      <w:pStyle w:val="BodyTextIndent"/>
      <w:lvlText w:val="%1."/>
      <w:lvlJc w:val="left"/>
      <w:pPr>
        <w:ind w:left="1440" w:hanging="360"/>
      </w:pPr>
      <w:rPr>
        <w:u w:val="none"/>
      </w:rPr>
    </w:lvl>
    <w:lvl w:ilvl="1">
      <w:start w:val="1"/>
      <w:numFmt w:val="lowerLetter"/>
      <w:pStyle w:val="BodyTextIndent2"/>
      <w:lvlText w:val="%2."/>
      <w:lvlJc w:val="left"/>
      <w:pPr>
        <w:ind w:left="2160" w:hanging="360"/>
      </w:pPr>
      <w:rPr>
        <w:u w:val="none"/>
      </w:rPr>
    </w:lvl>
    <w:lvl w:ilvl="2">
      <w:start w:val="1"/>
      <w:numFmt w:val="lowerRoman"/>
      <w:pStyle w:val="DefinitionNumbering1"/>
      <w:lvlText w:val="%3."/>
      <w:lvlJc w:val="right"/>
      <w:pPr>
        <w:ind w:left="2880" w:hanging="360"/>
      </w:pPr>
      <w:rPr>
        <w:u w:val="none"/>
      </w:rPr>
    </w:lvl>
    <w:lvl w:ilvl="3">
      <w:start w:val="1"/>
      <w:numFmt w:val="decimal"/>
      <w:pStyle w:val="DefinitionNumbering2"/>
      <w:lvlText w:val="%4."/>
      <w:lvlJc w:val="left"/>
      <w:pPr>
        <w:ind w:left="3600" w:hanging="360"/>
      </w:pPr>
      <w:rPr>
        <w:u w:val="none"/>
      </w:rPr>
    </w:lvl>
    <w:lvl w:ilvl="4">
      <w:start w:val="1"/>
      <w:numFmt w:val="lowerLetter"/>
      <w:pStyle w:val="DefinitionNumbering3"/>
      <w:lvlText w:val="%5."/>
      <w:lvlJc w:val="left"/>
      <w:pPr>
        <w:ind w:left="4320" w:hanging="360"/>
      </w:pPr>
      <w:rPr>
        <w:u w:val="none"/>
      </w:rPr>
    </w:lvl>
    <w:lvl w:ilvl="5">
      <w:start w:val="1"/>
      <w:numFmt w:val="lowerRoman"/>
      <w:pStyle w:val="DefinitionNumbering4"/>
      <w:lvlText w:val="%6."/>
      <w:lvlJc w:val="right"/>
      <w:pPr>
        <w:ind w:left="5040" w:hanging="360"/>
      </w:pPr>
      <w:rPr>
        <w:u w:val="none"/>
      </w:rPr>
    </w:lvl>
    <w:lvl w:ilvl="6">
      <w:start w:val="1"/>
      <w:numFmt w:val="decimal"/>
      <w:pStyle w:val="DefinitionNumbering5"/>
      <w:lvlText w:val="%7."/>
      <w:lvlJc w:val="left"/>
      <w:pPr>
        <w:ind w:left="5760" w:hanging="360"/>
      </w:pPr>
      <w:rPr>
        <w:u w:val="none"/>
      </w:rPr>
    </w:lvl>
    <w:lvl w:ilvl="7">
      <w:start w:val="1"/>
      <w:numFmt w:val="lowerLetter"/>
      <w:pStyle w:val="DefinitionNumbering6"/>
      <w:lvlText w:val="%8."/>
      <w:lvlJc w:val="left"/>
      <w:pPr>
        <w:ind w:left="6480" w:hanging="360"/>
      </w:pPr>
      <w:rPr>
        <w:u w:val="none"/>
      </w:rPr>
    </w:lvl>
    <w:lvl w:ilvl="8">
      <w:start w:val="1"/>
      <w:numFmt w:val="lowerRoman"/>
      <w:pStyle w:val="DefinitionNumbering7"/>
      <w:lvlText w:val="%9."/>
      <w:lvlJc w:val="right"/>
      <w:pPr>
        <w:ind w:left="7200" w:hanging="360"/>
      </w:pPr>
      <w:rPr>
        <w:u w:val="none"/>
      </w:rPr>
    </w:lvl>
  </w:abstractNum>
  <w:abstractNum w:abstractNumId="7" w15:restartNumberingAfterBreak="0">
    <w:nsid w:val="490D4258"/>
    <w:multiLevelType w:val="multilevel"/>
    <w:tmpl w:val="F1C6C40C"/>
    <w:lvl w:ilvl="0">
      <w:start w:val="1"/>
      <w:numFmt w:val="bullet"/>
      <w:pStyle w:val="SchHead"/>
      <w:lvlText w:val="●"/>
      <w:lvlJc w:val="left"/>
      <w:pPr>
        <w:ind w:left="1440" w:hanging="360"/>
      </w:pPr>
      <w:rPr>
        <w:u w:val="none"/>
      </w:rPr>
    </w:lvl>
    <w:lvl w:ilvl="1">
      <w:start w:val="1"/>
      <w:numFmt w:val="bullet"/>
      <w:pStyle w:val="SchPart"/>
      <w:lvlText w:val="○"/>
      <w:lvlJc w:val="left"/>
      <w:pPr>
        <w:ind w:left="2160" w:hanging="360"/>
      </w:pPr>
      <w:rPr>
        <w:u w:val="none"/>
      </w:rPr>
    </w:lvl>
    <w:lvl w:ilvl="2">
      <w:start w:val="1"/>
      <w:numFmt w:val="bullet"/>
      <w:pStyle w:val="SchSection"/>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570C37C2"/>
    <w:multiLevelType w:val="multilevel"/>
    <w:tmpl w:val="B4802ED6"/>
    <w:lvl w:ilvl="0">
      <w:start w:val="1"/>
      <w:numFmt w:val="upperLetter"/>
      <w:pStyle w:val="ListBullet1"/>
      <w:lvlText w:val="%1."/>
      <w:lvlJc w:val="left"/>
      <w:pPr>
        <w:ind w:left="1440" w:hanging="360"/>
      </w:pPr>
      <w:rPr>
        <w:u w:val="none"/>
      </w:rPr>
    </w:lvl>
    <w:lvl w:ilvl="1">
      <w:start w:val="1"/>
      <w:numFmt w:val="lowerLetter"/>
      <w:pStyle w:val="ListBullet2"/>
      <w:lvlText w:val="%2."/>
      <w:lvlJc w:val="left"/>
      <w:pPr>
        <w:ind w:left="2160" w:hanging="360"/>
      </w:pPr>
      <w:rPr>
        <w:u w:val="none"/>
      </w:rPr>
    </w:lvl>
    <w:lvl w:ilvl="2">
      <w:start w:val="1"/>
      <w:numFmt w:val="lowerRoman"/>
      <w:pStyle w:val="ListBullet3"/>
      <w:lvlText w:val="%3."/>
      <w:lvlJc w:val="right"/>
      <w:pPr>
        <w:ind w:left="2880" w:hanging="360"/>
      </w:pPr>
      <w:rPr>
        <w:u w:val="none"/>
      </w:rPr>
    </w:lvl>
    <w:lvl w:ilvl="3">
      <w:start w:val="1"/>
      <w:numFmt w:val="decimal"/>
      <w:pStyle w:val="ListBullet4"/>
      <w:lvlText w:val="%4."/>
      <w:lvlJc w:val="left"/>
      <w:pPr>
        <w:ind w:left="3600" w:hanging="360"/>
      </w:pPr>
      <w:rPr>
        <w:u w:val="none"/>
      </w:rPr>
    </w:lvl>
    <w:lvl w:ilvl="4">
      <w:start w:val="1"/>
      <w:numFmt w:val="lowerLetter"/>
      <w:pStyle w:val="ListBullet5"/>
      <w:lvlText w:val="%5."/>
      <w:lvlJc w:val="left"/>
      <w:pPr>
        <w:ind w:left="4320" w:hanging="360"/>
      </w:pPr>
      <w:rPr>
        <w:u w:val="none"/>
      </w:rPr>
    </w:lvl>
    <w:lvl w:ilvl="5">
      <w:start w:val="1"/>
      <w:numFmt w:val="lowerRoman"/>
      <w:pStyle w:val="ListBullet6"/>
      <w:lvlText w:val="%6."/>
      <w:lvlJc w:val="right"/>
      <w:pPr>
        <w:ind w:left="5040" w:hanging="360"/>
      </w:pPr>
      <w:rPr>
        <w:u w:val="none"/>
      </w:rPr>
    </w:lvl>
    <w:lvl w:ilvl="6">
      <w:start w:val="1"/>
      <w:numFmt w:val="decimal"/>
      <w:pStyle w:val="ListBullet7"/>
      <w:lvlText w:val="%7."/>
      <w:lvlJc w:val="left"/>
      <w:pPr>
        <w:ind w:left="5760" w:hanging="360"/>
      </w:pPr>
      <w:rPr>
        <w:u w:val="none"/>
      </w:rPr>
    </w:lvl>
    <w:lvl w:ilvl="7">
      <w:start w:val="1"/>
      <w:numFmt w:val="lowerLetter"/>
      <w:pStyle w:val="ListBullet8"/>
      <w:lvlText w:val="%8."/>
      <w:lvlJc w:val="left"/>
      <w:pPr>
        <w:ind w:left="6480" w:hanging="360"/>
      </w:pPr>
      <w:rPr>
        <w:u w:val="none"/>
      </w:rPr>
    </w:lvl>
    <w:lvl w:ilvl="8">
      <w:start w:val="1"/>
      <w:numFmt w:val="lowerRoman"/>
      <w:pStyle w:val="ListBullet9"/>
      <w:lvlText w:val="%9."/>
      <w:lvlJc w:val="right"/>
      <w:pPr>
        <w:ind w:left="7200" w:hanging="360"/>
      </w:pPr>
      <w:rPr>
        <w:u w:val="none"/>
      </w:rPr>
    </w:lvl>
  </w:abstractNum>
  <w:abstractNum w:abstractNumId="9" w15:restartNumberingAfterBreak="0">
    <w:nsid w:val="58381F35"/>
    <w:multiLevelType w:val="multilevel"/>
    <w:tmpl w:val="E74AABB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15:restartNumberingAfterBreak="0">
    <w:nsid w:val="5ABA5AD7"/>
    <w:multiLevelType w:val="multilevel"/>
    <w:tmpl w:val="6A6898A4"/>
    <w:lvl w:ilvl="0">
      <w:start w:val="1"/>
      <w:numFmt w:val="decimal"/>
      <w:lvlText w:val="%1."/>
      <w:lvlJc w:val="left"/>
      <w:pPr>
        <w:tabs>
          <w:tab w:val="num" w:pos="720"/>
        </w:tabs>
        <w:ind w:left="720" w:hanging="720"/>
      </w:pPr>
    </w:lvl>
    <w:lvl w:ilvl="1">
      <w:start w:val="1"/>
      <w:numFmt w:val="decimal"/>
      <w:pStyle w:val="Level2"/>
      <w:lvlText w:val="%2."/>
      <w:lvlJc w:val="left"/>
      <w:pPr>
        <w:tabs>
          <w:tab w:val="num" w:pos="1440"/>
        </w:tabs>
        <w:ind w:left="1440" w:hanging="720"/>
      </w:pPr>
    </w:lvl>
    <w:lvl w:ilvl="2">
      <w:start w:val="1"/>
      <w:numFmt w:val="decimal"/>
      <w:pStyle w:val="ScheduleLevel3"/>
      <w:lvlText w:val="%3."/>
      <w:lvlJc w:val="left"/>
      <w:pPr>
        <w:tabs>
          <w:tab w:val="num" w:pos="2160"/>
        </w:tabs>
        <w:ind w:left="2160" w:hanging="720"/>
      </w:pPr>
    </w:lvl>
    <w:lvl w:ilvl="3">
      <w:start w:val="1"/>
      <w:numFmt w:val="decimal"/>
      <w:pStyle w:val="ScheduleLevel4"/>
      <w:lvlText w:val="%4."/>
      <w:lvlJc w:val="left"/>
      <w:pPr>
        <w:tabs>
          <w:tab w:val="num" w:pos="2880"/>
        </w:tabs>
        <w:ind w:left="2880" w:hanging="720"/>
      </w:pPr>
    </w:lvl>
    <w:lvl w:ilvl="4">
      <w:start w:val="1"/>
      <w:numFmt w:val="decimal"/>
      <w:pStyle w:val="ScheduleLevel5"/>
      <w:lvlText w:val="%5."/>
      <w:lvlJc w:val="left"/>
      <w:pPr>
        <w:tabs>
          <w:tab w:val="num" w:pos="3600"/>
        </w:tabs>
        <w:ind w:left="3600" w:hanging="720"/>
      </w:pPr>
    </w:lvl>
    <w:lvl w:ilvl="5">
      <w:start w:val="1"/>
      <w:numFmt w:val="decimal"/>
      <w:pStyle w:val="ScheduleLevel6"/>
      <w:lvlText w:val="%6."/>
      <w:lvlJc w:val="left"/>
      <w:pPr>
        <w:tabs>
          <w:tab w:val="num" w:pos="4320"/>
        </w:tabs>
        <w:ind w:left="4320" w:hanging="720"/>
      </w:pPr>
    </w:lvl>
    <w:lvl w:ilvl="6">
      <w:start w:val="1"/>
      <w:numFmt w:val="decimal"/>
      <w:pStyle w:val="ScheduleLevel7"/>
      <w:lvlText w:val="%7."/>
      <w:lvlJc w:val="left"/>
      <w:pPr>
        <w:tabs>
          <w:tab w:val="num" w:pos="5040"/>
        </w:tabs>
        <w:ind w:left="5040" w:hanging="720"/>
      </w:pPr>
    </w:lvl>
    <w:lvl w:ilvl="7">
      <w:start w:val="1"/>
      <w:numFmt w:val="decimal"/>
      <w:pStyle w:val="ScheduleLevel8"/>
      <w:lvlText w:val="%8."/>
      <w:lvlJc w:val="left"/>
      <w:pPr>
        <w:tabs>
          <w:tab w:val="num" w:pos="5760"/>
        </w:tabs>
        <w:ind w:left="5760" w:hanging="720"/>
      </w:pPr>
    </w:lvl>
    <w:lvl w:ilvl="8">
      <w:start w:val="1"/>
      <w:numFmt w:val="decimal"/>
      <w:pStyle w:val="ScheduleLevel9"/>
      <w:lvlText w:val="%9."/>
      <w:lvlJc w:val="left"/>
      <w:pPr>
        <w:tabs>
          <w:tab w:val="num" w:pos="6480"/>
        </w:tabs>
        <w:ind w:left="6480" w:hanging="720"/>
      </w:pPr>
    </w:lvl>
  </w:abstractNum>
  <w:abstractNum w:abstractNumId="11" w15:restartNumberingAfterBreak="0">
    <w:nsid w:val="603B0FB4"/>
    <w:multiLevelType w:val="multilevel"/>
    <w:tmpl w:val="27BCE418"/>
    <w:lvl w:ilvl="0">
      <w:start w:val="1"/>
      <w:numFmt w:val="upperLetter"/>
      <w:pStyle w:val="ListNumber"/>
      <w:lvlText w:val="%1."/>
      <w:lvlJc w:val="left"/>
      <w:pPr>
        <w:ind w:left="1440" w:hanging="360"/>
      </w:pPr>
      <w:rPr>
        <w:u w:val="none"/>
      </w:rPr>
    </w:lvl>
    <w:lvl w:ilvl="1">
      <w:start w:val="1"/>
      <w:numFmt w:val="lowerLetter"/>
      <w:lvlText w:val="%2."/>
      <w:lvlJc w:val="left"/>
      <w:pPr>
        <w:ind w:left="2912" w:hanging="360"/>
      </w:pPr>
      <w:rPr>
        <w:b/>
        <w:sz w:val="24"/>
        <w:szCs w:val="24"/>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2" w15:restartNumberingAfterBreak="0">
    <w:nsid w:val="62605400"/>
    <w:multiLevelType w:val="multilevel"/>
    <w:tmpl w:val="A4B8BAB8"/>
    <w:lvl w:ilvl="0">
      <w:start w:val="1"/>
      <w:numFmt w:val="bullet"/>
      <w:pStyle w:val="ListNumber4"/>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76D8061C"/>
    <w:multiLevelType w:val="multilevel"/>
    <w:tmpl w:val="15E8EE94"/>
    <w:lvl w:ilvl="0">
      <w:start w:val="1"/>
      <w:numFmt w:val="bullet"/>
      <w:pStyle w:val="Heading1"/>
      <w:lvlText w:val="●"/>
      <w:lvlJc w:val="left"/>
      <w:pPr>
        <w:ind w:left="2160" w:hanging="360"/>
      </w:pPr>
      <w:rPr>
        <w:u w:val="none"/>
      </w:rPr>
    </w:lvl>
    <w:lvl w:ilvl="1">
      <w:start w:val="1"/>
      <w:numFmt w:val="bullet"/>
      <w:pStyle w:val="Heading2"/>
      <w:lvlText w:val="○"/>
      <w:lvlJc w:val="left"/>
      <w:pPr>
        <w:ind w:left="2880" w:hanging="360"/>
      </w:pPr>
      <w:rPr>
        <w:u w:val="none"/>
      </w:rPr>
    </w:lvl>
    <w:lvl w:ilvl="2">
      <w:start w:val="1"/>
      <w:numFmt w:val="bullet"/>
      <w:pStyle w:val="Heading3"/>
      <w:lvlText w:val="■"/>
      <w:lvlJc w:val="left"/>
      <w:pPr>
        <w:ind w:left="3600" w:hanging="360"/>
      </w:pPr>
      <w:rPr>
        <w:u w:val="none"/>
      </w:rPr>
    </w:lvl>
    <w:lvl w:ilvl="3">
      <w:start w:val="1"/>
      <w:numFmt w:val="bullet"/>
      <w:pStyle w:val="Heading4"/>
      <w:lvlText w:val="●"/>
      <w:lvlJc w:val="left"/>
      <w:pPr>
        <w:ind w:left="4320" w:hanging="360"/>
      </w:pPr>
      <w:rPr>
        <w:u w:val="none"/>
      </w:rPr>
    </w:lvl>
    <w:lvl w:ilvl="4">
      <w:start w:val="1"/>
      <w:numFmt w:val="bullet"/>
      <w:pStyle w:val="Heading5"/>
      <w:lvlText w:val="○"/>
      <w:lvlJc w:val="left"/>
      <w:pPr>
        <w:ind w:left="5040" w:hanging="360"/>
      </w:pPr>
      <w:rPr>
        <w:u w:val="none"/>
      </w:rPr>
    </w:lvl>
    <w:lvl w:ilvl="5">
      <w:start w:val="1"/>
      <w:numFmt w:val="bullet"/>
      <w:pStyle w:val="Heading6"/>
      <w:lvlText w:val="■"/>
      <w:lvlJc w:val="left"/>
      <w:pPr>
        <w:ind w:left="5760" w:hanging="360"/>
      </w:pPr>
      <w:rPr>
        <w:u w:val="none"/>
      </w:rPr>
    </w:lvl>
    <w:lvl w:ilvl="6">
      <w:start w:val="1"/>
      <w:numFmt w:val="bullet"/>
      <w:pStyle w:val="Heading7"/>
      <w:lvlText w:val="●"/>
      <w:lvlJc w:val="left"/>
      <w:pPr>
        <w:ind w:left="6480" w:hanging="360"/>
      </w:pPr>
      <w:rPr>
        <w:u w:val="none"/>
      </w:rPr>
    </w:lvl>
    <w:lvl w:ilvl="7">
      <w:start w:val="1"/>
      <w:numFmt w:val="bullet"/>
      <w:pStyle w:val="Heading8"/>
      <w:lvlText w:val="○"/>
      <w:lvlJc w:val="left"/>
      <w:pPr>
        <w:ind w:left="7200" w:hanging="360"/>
      </w:pPr>
      <w:rPr>
        <w:u w:val="none"/>
      </w:rPr>
    </w:lvl>
    <w:lvl w:ilvl="8">
      <w:start w:val="1"/>
      <w:numFmt w:val="bullet"/>
      <w:pStyle w:val="Heading9"/>
      <w:lvlText w:val="■"/>
      <w:lvlJc w:val="left"/>
      <w:pPr>
        <w:ind w:left="7920" w:hanging="360"/>
      </w:pPr>
      <w:rPr>
        <w:u w:val="none"/>
      </w:rPr>
    </w:lvl>
  </w:abstractNum>
  <w:num w:numId="1">
    <w:abstractNumId w:val="9"/>
  </w:num>
  <w:num w:numId="2">
    <w:abstractNumId w:val="13"/>
  </w:num>
  <w:num w:numId="3">
    <w:abstractNumId w:val="2"/>
  </w:num>
  <w:num w:numId="4">
    <w:abstractNumId w:val="5"/>
  </w:num>
  <w:num w:numId="5">
    <w:abstractNumId w:val="6"/>
  </w:num>
  <w:num w:numId="6">
    <w:abstractNumId w:val="7"/>
  </w:num>
  <w:num w:numId="7">
    <w:abstractNumId w:val="8"/>
  </w:num>
  <w:num w:numId="8">
    <w:abstractNumId w:val="3"/>
  </w:num>
  <w:num w:numId="9">
    <w:abstractNumId w:val="11"/>
  </w:num>
  <w:num w:numId="10">
    <w:abstractNumId w:val="0"/>
  </w:num>
  <w:num w:numId="11">
    <w:abstractNumId w:val="4"/>
  </w:num>
  <w:num w:numId="12">
    <w:abstractNumId w:val="12"/>
  </w:num>
  <w:num w:numId="13">
    <w:abstractNumId w:val="10"/>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0E73"/>
    <w:rsid w:val="00017256"/>
    <w:rsid w:val="003B0E73"/>
    <w:rsid w:val="009C6DAD"/>
    <w:rsid w:val="00BE3518"/>
    <w:rsid w:val="00F72C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8EB93"/>
  <w15:docId w15:val="{7B54DA5F-A0C2-436B-9E31-A414C1865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7115"/>
    <w:rPr>
      <w:rFonts w:eastAsia="SimSun"/>
      <w:szCs w:val="24"/>
      <w:lang w:eastAsia="zh-C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HouseStyleBase"/>
    <w:link w:val="Heading1Char"/>
    <w:uiPriority w:val="9"/>
    <w:qFormat/>
    <w:rsid w:val="00AA7115"/>
    <w:pPr>
      <w:keepNext/>
      <w:numPr>
        <w:numId w:val="2"/>
      </w:numPr>
      <w:outlineLvl w:val="0"/>
    </w:pPr>
    <w:rPr>
      <w:b/>
      <w:cap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HouseStyleBase"/>
    <w:link w:val="Heading2Char"/>
    <w:uiPriority w:val="9"/>
    <w:unhideWhenUsed/>
    <w:qFormat/>
    <w:rsid w:val="00AA7115"/>
    <w:pPr>
      <w:numPr>
        <w:ilvl w:val="1"/>
        <w:numId w:val="2"/>
      </w:numPr>
      <w:outlineLvl w:val="1"/>
    </w:p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HouseStyleBase"/>
    <w:link w:val="Heading3Char"/>
    <w:uiPriority w:val="9"/>
    <w:unhideWhenUsed/>
    <w:qFormat/>
    <w:rsid w:val="00AA7115"/>
    <w:pPr>
      <w:numPr>
        <w:ilvl w:val="2"/>
        <w:numId w:val="2"/>
      </w:numPr>
      <w:outlineLvl w:val="2"/>
    </w:p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HouseStyleBase"/>
    <w:link w:val="Heading4Char"/>
    <w:uiPriority w:val="9"/>
    <w:semiHidden/>
    <w:unhideWhenUsed/>
    <w:qFormat/>
    <w:rsid w:val="00AA7115"/>
    <w:pPr>
      <w:numPr>
        <w:ilvl w:val="3"/>
        <w:numId w:val="2"/>
      </w:numPr>
      <w:outlineLvl w:val="3"/>
    </w:p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HouseStyleBase"/>
    <w:link w:val="Heading5Char"/>
    <w:uiPriority w:val="9"/>
    <w:semiHidden/>
    <w:unhideWhenUsed/>
    <w:qFormat/>
    <w:rsid w:val="00AA7115"/>
    <w:pPr>
      <w:numPr>
        <w:ilvl w:val="4"/>
        <w:numId w:val="2"/>
      </w:numPr>
      <w:outlineLvl w:val="4"/>
    </w:pPr>
  </w:style>
  <w:style w:type="paragraph" w:styleId="Heading6">
    <w:name w:val="heading 6"/>
    <w:aliases w:val="Heading 6 (Do Not Use),Heading 6(unused),Legal Level 1.,L1 PIP,Heading 6  Appendix Y &amp; Z,Lev 6,H6 DO NOT USE,Bullet list,PA Appendix,H6,H61,PR14"/>
    <w:basedOn w:val="HouseStyleBase"/>
    <w:link w:val="Heading6Char"/>
    <w:uiPriority w:val="9"/>
    <w:semiHidden/>
    <w:unhideWhenUsed/>
    <w:qFormat/>
    <w:rsid w:val="00AA7115"/>
    <w:pPr>
      <w:numPr>
        <w:ilvl w:val="5"/>
        <w:numId w:val="2"/>
      </w:numPr>
      <w:outlineLvl w:val="5"/>
    </w:pPr>
  </w:style>
  <w:style w:type="paragraph" w:styleId="Heading7">
    <w:name w:val="heading 7"/>
    <w:aliases w:val="Heading 7 (Do Not Use),Heading 7(unused),Legal Level 1.1.,L2 PIP,Lev 7,H7DO NOT USE,PA Appendix Major"/>
    <w:basedOn w:val="HouseStyleBase"/>
    <w:link w:val="Heading7Char"/>
    <w:qFormat/>
    <w:rsid w:val="00AA7115"/>
    <w:pPr>
      <w:numPr>
        <w:ilvl w:val="6"/>
        <w:numId w:val="2"/>
      </w:numPr>
      <w:outlineLvl w:val="6"/>
    </w:pPr>
  </w:style>
  <w:style w:type="paragraph" w:styleId="Heading8">
    <w:name w:val="heading 8"/>
    <w:aliases w:val="Heading 8 (Do Not Use),Legal Level 1.1.1.,Lev 8,h8 DO NOT USE,PA Appendix Minor"/>
    <w:basedOn w:val="HouseStyleBase"/>
    <w:link w:val="Heading8Char"/>
    <w:uiPriority w:val="99"/>
    <w:qFormat/>
    <w:rsid w:val="00AA7115"/>
    <w:pPr>
      <w:numPr>
        <w:ilvl w:val="7"/>
        <w:numId w:val="2"/>
      </w:numPr>
      <w:outlineLvl w:val="7"/>
    </w:pPr>
  </w:style>
  <w:style w:type="paragraph" w:styleId="Heading9">
    <w:name w:val="heading 9"/>
    <w:aliases w:val="Heading 9 (Do Not Use),Heading 9 (defunct),Legal Level 1.1.1.1.,Lev 9,h9 DO NOT USE,App Heading,Titre 10,App1"/>
    <w:basedOn w:val="HouseStyleBase"/>
    <w:link w:val="Heading9Char"/>
    <w:uiPriority w:val="99"/>
    <w:qFormat/>
    <w:rsid w:val="00AA7115"/>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AA7115"/>
    <w:pPr>
      <w:spacing w:before="240" w:after="60"/>
      <w:jc w:val="center"/>
      <w:outlineLvl w:val="0"/>
    </w:pPr>
    <w:rPr>
      <w:b/>
      <w:bCs/>
      <w:kern w:val="28"/>
      <w:sz w:val="32"/>
      <w:szCs w:val="32"/>
    </w:rPr>
  </w:style>
  <w:style w:type="paragraph" w:styleId="EndnoteText">
    <w:name w:val="endnote text"/>
    <w:basedOn w:val="HouseStyleBase"/>
    <w:semiHidden/>
    <w:rsid w:val="00AA7115"/>
    <w:pPr>
      <w:spacing w:after="120"/>
      <w:ind w:left="720" w:hanging="720"/>
    </w:pPr>
    <w:rPr>
      <w:sz w:val="18"/>
    </w:rPr>
  </w:style>
  <w:style w:type="character" w:styleId="EndnoteReference">
    <w:name w:val="end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AA7115"/>
    <w:pPr>
      <w:spacing w:after="60"/>
      <w:ind w:left="720" w:hanging="720"/>
    </w:pPr>
    <w:rPr>
      <w:sz w:val="16"/>
    </w:rPr>
  </w:style>
  <w:style w:type="character" w:styleId="FootnoteReference">
    <w:name w:val="foot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TOC1">
    <w:name w:val="toc 1"/>
    <w:uiPriority w:val="39"/>
    <w:rsid w:val="00AA7115"/>
    <w:pPr>
      <w:tabs>
        <w:tab w:val="left" w:pos="720"/>
        <w:tab w:val="right" w:leader="dot" w:pos="9029"/>
      </w:tabs>
      <w:adjustRightInd w:val="0"/>
      <w:spacing w:after="120"/>
      <w:ind w:left="720" w:hanging="720"/>
    </w:pPr>
    <w:rPr>
      <w:rFonts w:eastAsia="STZhongsong"/>
      <w:caps/>
      <w:lang w:eastAsia="zh-CN"/>
    </w:rPr>
  </w:style>
  <w:style w:type="paragraph" w:styleId="TOC2">
    <w:name w:val="toc 2"/>
    <w:rsid w:val="00AA7115"/>
    <w:pPr>
      <w:tabs>
        <w:tab w:val="left" w:pos="1440"/>
        <w:tab w:val="right" w:leader="dot" w:pos="9029"/>
      </w:tabs>
      <w:adjustRightInd w:val="0"/>
      <w:spacing w:after="120"/>
      <w:ind w:left="1440" w:hanging="720"/>
    </w:pPr>
    <w:rPr>
      <w:rFonts w:eastAsia="STZhongsong"/>
      <w:lang w:eastAsia="zh-CN"/>
    </w:rPr>
  </w:style>
  <w:style w:type="paragraph" w:styleId="TOC3">
    <w:name w:val="toc 3"/>
    <w:rsid w:val="00AA7115"/>
    <w:pPr>
      <w:tabs>
        <w:tab w:val="left" w:pos="2160"/>
        <w:tab w:val="right" w:leader="dot" w:pos="9029"/>
      </w:tabs>
      <w:adjustRightInd w:val="0"/>
      <w:spacing w:after="120"/>
      <w:ind w:left="2160" w:hanging="720"/>
    </w:pPr>
    <w:rPr>
      <w:rFonts w:eastAsia="STZhongsong"/>
      <w:lang w:eastAsia="zh-CN"/>
    </w:rPr>
  </w:style>
  <w:style w:type="paragraph" w:styleId="TOC4">
    <w:name w:val="toc 4"/>
    <w:semiHidden/>
    <w:rsid w:val="00AA7115"/>
    <w:pPr>
      <w:tabs>
        <w:tab w:val="left" w:pos="2880"/>
        <w:tab w:val="right" w:leader="dot" w:pos="9029"/>
      </w:tabs>
      <w:adjustRightInd w:val="0"/>
      <w:spacing w:after="120"/>
      <w:ind w:left="2880" w:hanging="720"/>
    </w:pPr>
    <w:rPr>
      <w:rFonts w:eastAsia="STZhongsong"/>
      <w:lang w:eastAsia="zh-CN"/>
    </w:rPr>
  </w:style>
  <w:style w:type="paragraph" w:styleId="TOC5">
    <w:name w:val="toc 5"/>
    <w:semiHidden/>
    <w:rsid w:val="00AA7115"/>
    <w:pPr>
      <w:tabs>
        <w:tab w:val="left" w:pos="3600"/>
        <w:tab w:val="right" w:leader="dot" w:pos="9029"/>
      </w:tabs>
      <w:adjustRightInd w:val="0"/>
      <w:spacing w:after="120"/>
      <w:ind w:left="3600" w:hanging="720"/>
    </w:pPr>
    <w:rPr>
      <w:rFonts w:eastAsia="STZhongsong"/>
      <w:lang w:eastAsia="zh-CN"/>
    </w:rPr>
  </w:style>
  <w:style w:type="paragraph" w:styleId="TOC6">
    <w:name w:val="toc 6"/>
    <w:semiHidden/>
    <w:rsid w:val="00AA7115"/>
    <w:pPr>
      <w:tabs>
        <w:tab w:val="left" w:pos="4320"/>
        <w:tab w:val="right" w:leader="dot" w:pos="9029"/>
      </w:tabs>
      <w:adjustRightInd w:val="0"/>
      <w:spacing w:after="120"/>
      <w:ind w:left="4320" w:hanging="720"/>
    </w:pPr>
    <w:rPr>
      <w:rFonts w:eastAsia="STZhongsong"/>
      <w:lang w:eastAsia="zh-CN"/>
    </w:rPr>
  </w:style>
  <w:style w:type="paragraph" w:styleId="TOC7">
    <w:name w:val="toc 7"/>
    <w:semiHidden/>
    <w:rsid w:val="00AA7115"/>
    <w:pPr>
      <w:tabs>
        <w:tab w:val="left" w:pos="5040"/>
        <w:tab w:val="right" w:leader="dot" w:pos="9029"/>
      </w:tabs>
      <w:adjustRightInd w:val="0"/>
      <w:spacing w:after="120"/>
      <w:ind w:left="5040" w:hanging="720"/>
    </w:pPr>
    <w:rPr>
      <w:rFonts w:eastAsia="STZhongsong"/>
      <w:lang w:eastAsia="zh-CN"/>
    </w:rPr>
  </w:style>
  <w:style w:type="paragraph" w:styleId="TOC8">
    <w:name w:val="toc 8"/>
    <w:semiHidden/>
    <w:rsid w:val="00AA7115"/>
    <w:pPr>
      <w:tabs>
        <w:tab w:val="right" w:leader="dot" w:pos="9029"/>
      </w:tabs>
      <w:adjustRightInd w:val="0"/>
      <w:spacing w:after="120"/>
    </w:pPr>
    <w:rPr>
      <w:rFonts w:eastAsia="STZhongsong"/>
      <w:caps/>
      <w:lang w:eastAsia="zh-CN"/>
    </w:rPr>
  </w:style>
  <w:style w:type="paragraph" w:styleId="TOC9">
    <w:name w:val="toc 9"/>
    <w:uiPriority w:val="39"/>
    <w:rsid w:val="00AA7115"/>
    <w:pPr>
      <w:tabs>
        <w:tab w:val="right" w:leader="dot" w:pos="9029"/>
      </w:tabs>
      <w:adjustRightInd w:val="0"/>
      <w:spacing w:after="120"/>
      <w:ind w:left="720"/>
    </w:pPr>
    <w:rPr>
      <w:rFonts w:eastAsia="STZhongsong"/>
      <w:lang w:eastAsia="zh-CN"/>
    </w:rPr>
  </w:style>
  <w:style w:type="paragraph" w:styleId="Index1">
    <w:name w:val="index 1"/>
    <w:basedOn w:val="Normal"/>
    <w:next w:val="Normal"/>
    <w:semiHidden/>
    <w:rsid w:val="00AA7115"/>
    <w:pPr>
      <w:tabs>
        <w:tab w:val="right" w:leader="dot" w:pos="9360"/>
      </w:tabs>
      <w:suppressAutoHyphens/>
      <w:ind w:left="1440" w:right="720" w:hanging="1440"/>
    </w:pPr>
  </w:style>
  <w:style w:type="paragraph" w:styleId="Index2">
    <w:name w:val="index 2"/>
    <w:basedOn w:val="Normal"/>
    <w:next w:val="Normal"/>
    <w:semiHidden/>
    <w:rsid w:val="00AA7115"/>
    <w:pPr>
      <w:tabs>
        <w:tab w:val="right" w:leader="dot" w:pos="9360"/>
      </w:tabs>
      <w:suppressAutoHyphens/>
      <w:ind w:left="1440" w:right="720" w:hanging="720"/>
    </w:pPr>
  </w:style>
  <w:style w:type="paragraph" w:styleId="TOAHeading">
    <w:name w:val="toa heading"/>
    <w:basedOn w:val="Normal"/>
    <w:next w:val="Normal"/>
    <w:semiHidden/>
    <w:rsid w:val="00AA7115"/>
    <w:pPr>
      <w:tabs>
        <w:tab w:val="right" w:pos="9360"/>
      </w:tabs>
      <w:suppressAutoHyphens/>
      <w:overflowPunct w:val="0"/>
      <w:autoSpaceDE w:val="0"/>
      <w:autoSpaceDN w:val="0"/>
      <w:adjustRightInd w:val="0"/>
      <w:jc w:val="both"/>
      <w:textAlignment w:val="baseline"/>
    </w:pPr>
    <w:rPr>
      <w:rFonts w:eastAsia="Times New Roman"/>
      <w:szCs w:val="20"/>
      <w:lang w:eastAsia="en-US"/>
    </w:rPr>
  </w:style>
  <w:style w:type="paragraph" w:styleId="Caption">
    <w:name w:val="caption"/>
    <w:basedOn w:val="Normal"/>
    <w:next w:val="Normal"/>
    <w:qFormat/>
    <w:rsid w:val="00AA7115"/>
  </w:style>
  <w:style w:type="character" w:customStyle="1" w:styleId="EquationCaption">
    <w:name w:val="_Equation Caption"/>
    <w:rsid w:val="00AA7115"/>
  </w:style>
  <w:style w:type="paragraph" w:styleId="Footer">
    <w:name w:val="footer"/>
    <w:basedOn w:val="Normal"/>
    <w:link w:val="FooterChar"/>
    <w:uiPriority w:val="99"/>
    <w:rsid w:val="00AA7115"/>
    <w:pPr>
      <w:tabs>
        <w:tab w:val="center" w:pos="4153"/>
        <w:tab w:val="right" w:pos="8306"/>
      </w:tabs>
    </w:pPr>
  </w:style>
  <w:style w:type="paragraph" w:styleId="Header">
    <w:name w:val="header"/>
    <w:basedOn w:val="Normal"/>
    <w:link w:val="HeaderChar"/>
    <w:uiPriority w:val="99"/>
    <w:rsid w:val="00AA7115"/>
    <w:pPr>
      <w:tabs>
        <w:tab w:val="center" w:pos="4153"/>
        <w:tab w:val="right" w:pos="8306"/>
      </w:tabs>
    </w:pPr>
  </w:style>
  <w:style w:type="character" w:styleId="PageNumber">
    <w:name w:val="page number"/>
    <w:basedOn w:val="DefaultParagraphFont"/>
    <w:rsid w:val="00AA7115"/>
    <w:rPr>
      <w:sz w:val="22"/>
    </w:rPr>
  </w:style>
  <w:style w:type="paragraph" w:styleId="BodyText">
    <w:name w:val="Body Text"/>
    <w:basedOn w:val="Normal"/>
    <w:link w:val="BodyTextChar"/>
    <w:rsid w:val="00AA7115"/>
    <w:pPr>
      <w:overflowPunct w:val="0"/>
      <w:autoSpaceDE w:val="0"/>
      <w:autoSpaceDN w:val="0"/>
      <w:adjustRightInd w:val="0"/>
      <w:spacing w:after="120"/>
      <w:jc w:val="both"/>
      <w:textAlignment w:val="baseline"/>
    </w:pPr>
    <w:rPr>
      <w:rFonts w:eastAsia="Times New Roman"/>
      <w:szCs w:val="20"/>
      <w:lang w:eastAsia="en-US"/>
    </w:rPr>
  </w:style>
  <w:style w:type="paragraph" w:styleId="BodyTextIndent">
    <w:name w:val="Body Text Indent"/>
    <w:basedOn w:val="HouseStyleBase"/>
    <w:link w:val="BodyTextIndentChar"/>
    <w:rsid w:val="00AA7115"/>
    <w:pPr>
      <w:numPr>
        <w:numId w:val="5"/>
      </w:numPr>
    </w:pPr>
  </w:style>
  <w:style w:type="paragraph" w:styleId="BodyTextIndent2">
    <w:name w:val="Body Text Indent 2"/>
    <w:basedOn w:val="HouseStyleBase"/>
    <w:link w:val="BodyTextIndent2Char"/>
    <w:rsid w:val="00AA7115"/>
    <w:pPr>
      <w:numPr>
        <w:ilvl w:val="1"/>
        <w:numId w:val="5"/>
      </w:numPr>
    </w:pPr>
  </w:style>
  <w:style w:type="paragraph" w:styleId="BodyTextIndent3">
    <w:name w:val="Body Text Indent 3"/>
    <w:basedOn w:val="HouseStyleBase"/>
    <w:link w:val="BodyTextIndent3Char"/>
    <w:rsid w:val="00AA7115"/>
    <w:pPr>
      <w:ind w:left="1800"/>
    </w:pPr>
  </w:style>
  <w:style w:type="paragraph" w:customStyle="1" w:styleId="BodyTextIndent4">
    <w:name w:val="Body Text Indent 4"/>
    <w:basedOn w:val="HouseStyleBase"/>
    <w:rsid w:val="00AA7115"/>
    <w:pPr>
      <w:ind w:left="2880"/>
    </w:pPr>
  </w:style>
  <w:style w:type="paragraph" w:customStyle="1" w:styleId="BodyTextIndent5">
    <w:name w:val="Body Text Indent 5"/>
    <w:basedOn w:val="HouseStyleBase"/>
    <w:rsid w:val="00AA7115"/>
    <w:pPr>
      <w:ind w:left="3600"/>
    </w:pPr>
  </w:style>
  <w:style w:type="paragraph" w:customStyle="1" w:styleId="BodyTextIndent6">
    <w:name w:val="Body Text Indent 6"/>
    <w:basedOn w:val="HouseStyleBase"/>
    <w:rsid w:val="00AA7115"/>
    <w:pPr>
      <w:ind w:left="4320"/>
    </w:pPr>
  </w:style>
  <w:style w:type="paragraph" w:customStyle="1" w:styleId="BodyTextIndent7">
    <w:name w:val="Body Text Indent 7"/>
    <w:basedOn w:val="HouseStyleBase"/>
    <w:rsid w:val="00AA7115"/>
    <w:pPr>
      <w:ind w:left="5040"/>
    </w:pPr>
  </w:style>
  <w:style w:type="paragraph" w:customStyle="1" w:styleId="BodyTextIndent8">
    <w:name w:val="Body Text Indent 8"/>
    <w:basedOn w:val="BodyTextIndent7"/>
    <w:rsid w:val="00AA7115"/>
    <w:pPr>
      <w:ind w:left="5760"/>
    </w:pPr>
  </w:style>
  <w:style w:type="paragraph" w:customStyle="1" w:styleId="MarginText">
    <w:name w:val="Margin Text"/>
    <w:basedOn w:val="HouseStyleBase"/>
    <w:link w:val="MarginTextChar"/>
    <w:rsid w:val="00AA7115"/>
  </w:style>
  <w:style w:type="paragraph" w:customStyle="1" w:styleId="SchHead">
    <w:name w:val="SchHead"/>
    <w:basedOn w:val="HouseStyleBaseCentred"/>
    <w:next w:val="SchPart"/>
    <w:rsid w:val="00AA7115"/>
    <w:pPr>
      <w:keepNext/>
      <w:numPr>
        <w:numId w:val="6"/>
      </w:numPr>
      <w:jc w:val="center"/>
      <w:outlineLvl w:val="0"/>
    </w:pPr>
    <w:rPr>
      <w:b/>
      <w:caps/>
    </w:rPr>
  </w:style>
  <w:style w:type="paragraph" w:customStyle="1" w:styleId="ListBullet1">
    <w:name w:val="List Bullet 1"/>
    <w:basedOn w:val="HouseStyleBase"/>
    <w:rsid w:val="00AA7115"/>
    <w:pPr>
      <w:numPr>
        <w:numId w:val="7"/>
      </w:numPr>
    </w:pPr>
  </w:style>
  <w:style w:type="paragraph" w:styleId="ListBullet">
    <w:name w:val="List Bullet"/>
    <w:basedOn w:val="Normal"/>
    <w:rsid w:val="00AA7115"/>
    <w:pPr>
      <w:overflowPunct w:val="0"/>
      <w:autoSpaceDE w:val="0"/>
      <w:autoSpaceDN w:val="0"/>
      <w:adjustRightInd w:val="0"/>
      <w:spacing w:after="240" w:line="360" w:lineRule="auto"/>
      <w:ind w:left="720" w:hanging="720"/>
      <w:jc w:val="both"/>
      <w:textAlignment w:val="baseline"/>
    </w:pPr>
    <w:rPr>
      <w:rFonts w:eastAsia="Times New Roman"/>
      <w:szCs w:val="20"/>
      <w:lang w:eastAsia="en-US"/>
    </w:rPr>
  </w:style>
  <w:style w:type="paragraph" w:styleId="ListBullet2">
    <w:name w:val="List Bullet 2"/>
    <w:basedOn w:val="HouseStyleBase"/>
    <w:rsid w:val="00AA7115"/>
    <w:pPr>
      <w:numPr>
        <w:ilvl w:val="1"/>
        <w:numId w:val="7"/>
      </w:numPr>
    </w:pPr>
  </w:style>
  <w:style w:type="paragraph" w:customStyle="1" w:styleId="body">
    <w:name w:val="body"/>
    <w:basedOn w:val="Normal"/>
    <w:link w:val="bodyChar"/>
    <w:rsid w:val="00AA7115"/>
    <w:rPr>
      <w:lang w:eastAsia="en-GB"/>
    </w:rPr>
  </w:style>
  <w:style w:type="paragraph" w:customStyle="1" w:styleId="bodystrong">
    <w:name w:val="body strong"/>
    <w:basedOn w:val="body"/>
    <w:link w:val="bodystrongChar"/>
    <w:rsid w:val="00AA7115"/>
    <w:rPr>
      <w:b/>
    </w:rPr>
  </w:style>
  <w:style w:type="paragraph" w:customStyle="1" w:styleId="bodystronger">
    <w:name w:val="body stronger"/>
    <w:basedOn w:val="bodystrong"/>
    <w:link w:val="bodystrongerChar"/>
    <w:rsid w:val="00AA7115"/>
    <w:rPr>
      <w:caps/>
      <w:szCs w:val="22"/>
    </w:rPr>
  </w:style>
  <w:style w:type="character" w:customStyle="1" w:styleId="bodyChar">
    <w:name w:val="body Char"/>
    <w:basedOn w:val="DefaultParagraphFont"/>
    <w:link w:val="body"/>
    <w:rsid w:val="00AA7115"/>
    <w:rPr>
      <w:rFonts w:eastAsia="SimSun"/>
      <w:sz w:val="22"/>
      <w:szCs w:val="24"/>
      <w:lang w:val="en-GB" w:eastAsia="en-GB" w:bidi="ar-SA"/>
    </w:rPr>
  </w:style>
  <w:style w:type="character" w:customStyle="1" w:styleId="bodystrongChar">
    <w:name w:val="body strong Char"/>
    <w:basedOn w:val="bodyChar"/>
    <w:link w:val="bodystrong"/>
    <w:rsid w:val="00AA7115"/>
    <w:rPr>
      <w:rFonts w:eastAsia="SimSun"/>
      <w:b/>
      <w:sz w:val="22"/>
      <w:szCs w:val="24"/>
      <w:lang w:val="en-GB" w:eastAsia="en-GB" w:bidi="ar-SA"/>
    </w:rPr>
  </w:style>
  <w:style w:type="paragraph" w:customStyle="1" w:styleId="bodystrongcentred">
    <w:name w:val="body strong centred"/>
    <w:basedOn w:val="bodystrong"/>
    <w:rsid w:val="00AA7115"/>
    <w:pPr>
      <w:jc w:val="center"/>
    </w:pPr>
    <w:rPr>
      <w:szCs w:val="22"/>
    </w:rPr>
  </w:style>
  <w:style w:type="paragraph" w:customStyle="1" w:styleId="bodycondstrongcentredspaced">
    <w:name w:val="body cond strong centred spaced"/>
    <w:basedOn w:val="bodycondstrongcentred"/>
    <w:rsid w:val="00AA7115"/>
    <w:pPr>
      <w:spacing w:after="40"/>
    </w:pPr>
  </w:style>
  <w:style w:type="paragraph" w:customStyle="1" w:styleId="bodycond">
    <w:name w:val="body cond"/>
    <w:basedOn w:val="body"/>
    <w:link w:val="bodycondChar"/>
    <w:rsid w:val="00AA7115"/>
    <w:rPr>
      <w:spacing w:val="-3"/>
      <w:szCs w:val="22"/>
    </w:rPr>
  </w:style>
  <w:style w:type="paragraph" w:customStyle="1" w:styleId="bodycondstrong">
    <w:name w:val="body cond strong"/>
    <w:basedOn w:val="bodycond"/>
    <w:link w:val="bodycondstrongChar"/>
    <w:rsid w:val="00AA7115"/>
    <w:rPr>
      <w:b/>
    </w:rPr>
  </w:style>
  <w:style w:type="paragraph" w:customStyle="1" w:styleId="bodycondstrongcentred">
    <w:name w:val="body cond strong centred"/>
    <w:basedOn w:val="bodycondstrong"/>
    <w:link w:val="bodycondstrongcentredChar"/>
    <w:rsid w:val="00AA7115"/>
    <w:pPr>
      <w:jc w:val="center"/>
    </w:pPr>
  </w:style>
  <w:style w:type="paragraph" w:customStyle="1" w:styleId="bodycondstrongercentred">
    <w:name w:val="body cond stronger centred"/>
    <w:basedOn w:val="bodycondstrongcentred"/>
    <w:link w:val="bodycondstrongercentredChar"/>
    <w:rsid w:val="00AA7115"/>
    <w:rPr>
      <w:caps/>
    </w:rPr>
  </w:style>
  <w:style w:type="paragraph" w:customStyle="1" w:styleId="bodycondcentred">
    <w:name w:val="body cond centred"/>
    <w:basedOn w:val="bodycond"/>
    <w:rsid w:val="00AA7115"/>
    <w:pPr>
      <w:jc w:val="center"/>
    </w:pPr>
  </w:style>
  <w:style w:type="character" w:customStyle="1" w:styleId="HeaderChar">
    <w:name w:val="Header Char"/>
    <w:basedOn w:val="DefaultParagraphFont"/>
    <w:link w:val="Header"/>
    <w:uiPriority w:val="99"/>
    <w:rsid w:val="00AA7115"/>
    <w:rPr>
      <w:sz w:val="22"/>
      <w:lang w:val="en-GB" w:eastAsia="en-US" w:bidi="ar-SA"/>
    </w:rPr>
  </w:style>
  <w:style w:type="character" w:customStyle="1" w:styleId="bodycondChar">
    <w:name w:val="body cond Char"/>
    <w:basedOn w:val="bodyChar"/>
    <w:link w:val="bodycond"/>
    <w:rsid w:val="00AA7115"/>
    <w:rPr>
      <w:rFonts w:eastAsia="SimSun"/>
      <w:spacing w:val="-3"/>
      <w:sz w:val="22"/>
      <w:szCs w:val="22"/>
      <w:lang w:val="en-GB" w:eastAsia="en-GB" w:bidi="ar-SA"/>
    </w:rPr>
  </w:style>
  <w:style w:type="character" w:customStyle="1" w:styleId="bodycondstrongChar">
    <w:name w:val="body cond strong Char"/>
    <w:basedOn w:val="bodycondChar"/>
    <w:link w:val="bodycondstrong"/>
    <w:rsid w:val="00AA7115"/>
    <w:rPr>
      <w:rFonts w:eastAsia="SimSun"/>
      <w:b/>
      <w:spacing w:val="-3"/>
      <w:sz w:val="22"/>
      <w:szCs w:val="22"/>
      <w:lang w:val="en-GB" w:eastAsia="en-GB" w:bidi="ar-SA"/>
    </w:rPr>
  </w:style>
  <w:style w:type="character" w:customStyle="1" w:styleId="bodycondstrongcentredChar">
    <w:name w:val="body cond strong centred Char"/>
    <w:basedOn w:val="bodycondstrongChar"/>
    <w:link w:val="bodycondstrongcentred"/>
    <w:rsid w:val="00AA7115"/>
    <w:rPr>
      <w:rFonts w:eastAsia="SimSun"/>
      <w:b/>
      <w:spacing w:val="-3"/>
      <w:sz w:val="22"/>
      <w:szCs w:val="22"/>
      <w:lang w:val="en-GB" w:eastAsia="en-GB" w:bidi="ar-SA"/>
    </w:rPr>
  </w:style>
  <w:style w:type="character" w:customStyle="1" w:styleId="bodycondstrongercentredChar">
    <w:name w:val="body cond stronger centred Char"/>
    <w:basedOn w:val="bodycondstrongcentredChar"/>
    <w:link w:val="bodycondstrongercentred"/>
    <w:rsid w:val="00AA7115"/>
    <w:rPr>
      <w:rFonts w:eastAsia="SimSun"/>
      <w:b/>
      <w:caps/>
      <w:spacing w:val="-3"/>
      <w:sz w:val="22"/>
      <w:szCs w:val="22"/>
      <w:lang w:val="en-GB" w:eastAsia="en-GB" w:bidi="ar-SA"/>
    </w:rPr>
  </w:style>
  <w:style w:type="paragraph" w:customStyle="1" w:styleId="bodyspaced">
    <w:name w:val="body spaced"/>
    <w:basedOn w:val="body"/>
    <w:rsid w:val="00AA7115"/>
    <w:pPr>
      <w:spacing w:after="240"/>
    </w:pPr>
  </w:style>
  <w:style w:type="character" w:customStyle="1" w:styleId="bodystrongerChar">
    <w:name w:val="body stronger Char"/>
    <w:basedOn w:val="bodystrongChar"/>
    <w:link w:val="bodystronger"/>
    <w:rsid w:val="00AA7115"/>
    <w:rPr>
      <w:rFonts w:eastAsia="SimSun"/>
      <w:b/>
      <w:caps/>
      <w:sz w:val="22"/>
      <w:szCs w:val="22"/>
      <w:lang w:val="en-GB" w:eastAsia="en-GB" w:bidi="ar-SA"/>
    </w:rPr>
  </w:style>
  <w:style w:type="paragraph" w:customStyle="1" w:styleId="bodypartyhead">
    <w:name w:val="body party head"/>
    <w:basedOn w:val="bodystronger"/>
    <w:next w:val="bodyparty"/>
    <w:link w:val="bodypartyheadChar"/>
    <w:rsid w:val="00AA7115"/>
    <w:pPr>
      <w:spacing w:after="240"/>
      <w:ind w:left="720" w:hanging="720"/>
    </w:pPr>
  </w:style>
  <w:style w:type="paragraph" w:customStyle="1" w:styleId="bodyparty">
    <w:name w:val="body party"/>
    <w:basedOn w:val="body"/>
    <w:rsid w:val="00AA7115"/>
    <w:pPr>
      <w:spacing w:after="240"/>
      <w:ind w:left="720"/>
      <w:contextualSpacing/>
    </w:pPr>
  </w:style>
  <w:style w:type="table" w:styleId="TableGrid">
    <w:name w:val="Table Grid"/>
    <w:basedOn w:val="TableNormal"/>
    <w:uiPriority w:val="59"/>
    <w:rsid w:val="00AA7115"/>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AA7115"/>
    <w:pPr>
      <w:adjustRightInd w:val="0"/>
      <w:spacing w:after="240"/>
      <w:jc w:val="both"/>
    </w:pPr>
    <w:rPr>
      <w:rFonts w:eastAsia="STZhongsong"/>
      <w:lang w:eastAsia="zh-CN"/>
    </w:rPr>
  </w:style>
  <w:style w:type="character" w:customStyle="1" w:styleId="BodyTextChar">
    <w:name w:val="Body Text Char"/>
    <w:basedOn w:val="DefaultParagraphFont"/>
    <w:link w:val="BodyText"/>
    <w:rsid w:val="00AA7115"/>
    <w:rPr>
      <w:rFonts w:ascii="Arial" w:hAnsi="Arial"/>
      <w:sz w:val="22"/>
      <w:lang w:eastAsia="en-US"/>
    </w:rPr>
  </w:style>
  <w:style w:type="character" w:customStyle="1" w:styleId="MarginTextChar">
    <w:name w:val="Margin Text Char"/>
    <w:basedOn w:val="BodyTextChar"/>
    <w:link w:val="MarginText"/>
    <w:rsid w:val="00AA7115"/>
    <w:rPr>
      <w:rFonts w:ascii="Arial" w:eastAsia="STZhongsong" w:hAnsi="Arial"/>
      <w:sz w:val="22"/>
      <w:lang w:eastAsia="zh-CN"/>
    </w:rPr>
  </w:style>
  <w:style w:type="numbering" w:styleId="111111">
    <w:name w:val="Outline List 2"/>
    <w:basedOn w:val="NoList"/>
    <w:rsid w:val="00AA7115"/>
  </w:style>
  <w:style w:type="paragraph" w:customStyle="1" w:styleId="BODYDOCTITLE">
    <w:name w:val="BODY DOC TITLE"/>
    <w:basedOn w:val="bodycondstrongercentred"/>
    <w:rsid w:val="00AA7115"/>
    <w:rPr>
      <w:sz w:val="28"/>
    </w:rPr>
  </w:style>
  <w:style w:type="character" w:customStyle="1" w:styleId="bodypartyheadChar">
    <w:name w:val="body party head Char"/>
    <w:basedOn w:val="bodystrongerChar"/>
    <w:link w:val="bodypartyhead"/>
    <w:rsid w:val="00AA7115"/>
    <w:rPr>
      <w:rFonts w:eastAsia="SimSun"/>
      <w:b/>
      <w:caps/>
      <w:sz w:val="22"/>
      <w:szCs w:val="22"/>
      <w:lang w:val="en-GB" w:eastAsia="en-GB" w:bidi="ar-SA"/>
    </w:rPr>
  </w:style>
  <w:style w:type="paragraph" w:customStyle="1" w:styleId="Heading">
    <w:name w:val="Heading"/>
    <w:basedOn w:val="HouseStyleBaseCentred"/>
    <w:next w:val="MarginText"/>
    <w:rsid w:val="00AA7115"/>
    <w:pPr>
      <w:keepNext/>
      <w:jc w:val="center"/>
    </w:pPr>
    <w:rPr>
      <w:b/>
      <w:caps/>
    </w:rPr>
  </w:style>
  <w:style w:type="paragraph" w:customStyle="1" w:styleId="AppHead">
    <w:name w:val="AppHead"/>
    <w:basedOn w:val="HouseStyleBaseCentred"/>
    <w:rsid w:val="00AA7115"/>
    <w:pPr>
      <w:numPr>
        <w:numId w:val="4"/>
      </w:numPr>
      <w:jc w:val="center"/>
      <w:outlineLvl w:val="0"/>
    </w:pPr>
    <w:rPr>
      <w:b/>
      <w:caps/>
    </w:rPr>
  </w:style>
  <w:style w:type="paragraph" w:customStyle="1" w:styleId="RecitalNumbering">
    <w:name w:val="Recital Numbering"/>
    <w:basedOn w:val="HouseStyleBase"/>
    <w:rsid w:val="00AA7115"/>
    <w:pPr>
      <w:numPr>
        <w:numId w:val="8"/>
      </w:numPr>
      <w:outlineLvl w:val="0"/>
    </w:pPr>
  </w:style>
  <w:style w:type="paragraph" w:customStyle="1" w:styleId="DefinitionNumbering1">
    <w:name w:val="Definition Numbering 1"/>
    <w:basedOn w:val="HouseStyleBase"/>
    <w:rsid w:val="00AA7115"/>
    <w:pPr>
      <w:numPr>
        <w:ilvl w:val="2"/>
        <w:numId w:val="5"/>
      </w:numPr>
      <w:outlineLvl w:val="0"/>
    </w:pPr>
  </w:style>
  <w:style w:type="paragraph" w:customStyle="1" w:styleId="DefinitionNumbering2">
    <w:name w:val="Definition Numbering 2"/>
    <w:basedOn w:val="HouseStyleBase"/>
    <w:rsid w:val="00AA7115"/>
    <w:pPr>
      <w:numPr>
        <w:ilvl w:val="3"/>
        <w:numId w:val="5"/>
      </w:numPr>
      <w:outlineLvl w:val="1"/>
    </w:pPr>
  </w:style>
  <w:style w:type="paragraph" w:customStyle="1" w:styleId="DefinitionNumbering3">
    <w:name w:val="Definition Numbering 3"/>
    <w:basedOn w:val="HouseStyleBase"/>
    <w:rsid w:val="00AA7115"/>
    <w:pPr>
      <w:numPr>
        <w:ilvl w:val="4"/>
        <w:numId w:val="5"/>
      </w:numPr>
      <w:outlineLvl w:val="2"/>
    </w:pPr>
  </w:style>
  <w:style w:type="paragraph" w:customStyle="1" w:styleId="DefinitionNumbering4">
    <w:name w:val="Definition Numbering 4"/>
    <w:basedOn w:val="HouseStyleBase"/>
    <w:rsid w:val="00AA7115"/>
    <w:pPr>
      <w:numPr>
        <w:ilvl w:val="5"/>
        <w:numId w:val="5"/>
      </w:numPr>
      <w:outlineLvl w:val="3"/>
    </w:pPr>
  </w:style>
  <w:style w:type="paragraph" w:customStyle="1" w:styleId="DefinitionNumbering5">
    <w:name w:val="Definition Numbering 5"/>
    <w:basedOn w:val="HouseStyleBase"/>
    <w:rsid w:val="00AA7115"/>
    <w:pPr>
      <w:numPr>
        <w:ilvl w:val="6"/>
        <w:numId w:val="5"/>
      </w:numPr>
      <w:outlineLvl w:val="4"/>
    </w:pPr>
  </w:style>
  <w:style w:type="paragraph" w:customStyle="1" w:styleId="DefinitionNumbering6">
    <w:name w:val="Definition Numbering 6"/>
    <w:basedOn w:val="HouseStyleBase"/>
    <w:rsid w:val="00AA7115"/>
    <w:pPr>
      <w:numPr>
        <w:ilvl w:val="7"/>
        <w:numId w:val="5"/>
      </w:numPr>
      <w:outlineLvl w:val="5"/>
    </w:pPr>
  </w:style>
  <w:style w:type="paragraph" w:customStyle="1" w:styleId="DefinitionNumbering7">
    <w:name w:val="Definition Numbering 7"/>
    <w:basedOn w:val="HouseStyleBase"/>
    <w:rsid w:val="00AA7115"/>
    <w:pPr>
      <w:numPr>
        <w:ilvl w:val="8"/>
        <w:numId w:val="5"/>
      </w:numPr>
      <w:outlineLvl w:val="6"/>
    </w:pPr>
  </w:style>
  <w:style w:type="paragraph" w:customStyle="1" w:styleId="DefinitionNumbering8">
    <w:name w:val="Definition Numbering 8"/>
    <w:basedOn w:val="HouseStyleBase"/>
    <w:rsid w:val="00AA7115"/>
    <w:pPr>
      <w:outlineLvl w:val="7"/>
    </w:pPr>
  </w:style>
  <w:style w:type="paragraph" w:customStyle="1" w:styleId="DefinitionNumbering9">
    <w:name w:val="Definition Numbering 9"/>
    <w:basedOn w:val="HouseStyleBase"/>
    <w:rsid w:val="00AA7115"/>
    <w:pPr>
      <w:outlineLvl w:val="8"/>
    </w:pPr>
  </w:style>
  <w:style w:type="paragraph" w:customStyle="1" w:styleId="SchPart">
    <w:name w:val="SchPart"/>
    <w:basedOn w:val="HouseStyleBaseCentred"/>
    <w:next w:val="MarginText"/>
    <w:rsid w:val="00AA7115"/>
    <w:pPr>
      <w:keepNext/>
      <w:numPr>
        <w:ilvl w:val="1"/>
        <w:numId w:val="6"/>
      </w:numPr>
      <w:jc w:val="center"/>
      <w:outlineLvl w:val="1"/>
    </w:pPr>
    <w:rPr>
      <w:b/>
    </w:rPr>
  </w:style>
  <w:style w:type="paragraph" w:styleId="ListBullet3">
    <w:name w:val="List Bullet 3"/>
    <w:basedOn w:val="HouseStyleBase"/>
    <w:rsid w:val="00AA7115"/>
    <w:pPr>
      <w:numPr>
        <w:ilvl w:val="2"/>
        <w:numId w:val="7"/>
      </w:numPr>
    </w:pPr>
  </w:style>
  <w:style w:type="paragraph" w:styleId="ListBullet4">
    <w:name w:val="List Bullet 4"/>
    <w:basedOn w:val="HouseStyleBase"/>
    <w:rsid w:val="00AA7115"/>
    <w:pPr>
      <w:numPr>
        <w:ilvl w:val="3"/>
        <w:numId w:val="7"/>
      </w:numPr>
    </w:pPr>
  </w:style>
  <w:style w:type="paragraph" w:styleId="ListBullet5">
    <w:name w:val="List Bullet 5"/>
    <w:basedOn w:val="HouseStyleBase"/>
    <w:rsid w:val="00AA7115"/>
    <w:pPr>
      <w:numPr>
        <w:ilvl w:val="4"/>
        <w:numId w:val="7"/>
      </w:numPr>
    </w:pPr>
  </w:style>
  <w:style w:type="paragraph" w:customStyle="1" w:styleId="ListBullet6">
    <w:name w:val="List Bullet 6"/>
    <w:basedOn w:val="HouseStyleBase"/>
    <w:rsid w:val="00AA7115"/>
    <w:pPr>
      <w:numPr>
        <w:ilvl w:val="5"/>
        <w:numId w:val="7"/>
      </w:numPr>
    </w:pPr>
  </w:style>
  <w:style w:type="paragraph" w:customStyle="1" w:styleId="ListBullet7">
    <w:name w:val="List Bullet 7"/>
    <w:basedOn w:val="HouseStyleBase"/>
    <w:rsid w:val="00AA7115"/>
    <w:pPr>
      <w:numPr>
        <w:ilvl w:val="6"/>
        <w:numId w:val="7"/>
      </w:numPr>
    </w:pPr>
  </w:style>
  <w:style w:type="paragraph" w:customStyle="1" w:styleId="ListBullet8">
    <w:name w:val="List Bullet 8"/>
    <w:basedOn w:val="HouseStyleBase"/>
    <w:rsid w:val="00AA7115"/>
    <w:pPr>
      <w:numPr>
        <w:ilvl w:val="7"/>
        <w:numId w:val="7"/>
      </w:numPr>
    </w:pPr>
  </w:style>
  <w:style w:type="paragraph" w:customStyle="1" w:styleId="ListBullet9">
    <w:name w:val="List Bullet 9"/>
    <w:basedOn w:val="HouseStyleBase"/>
    <w:rsid w:val="00AA7115"/>
    <w:pPr>
      <w:numPr>
        <w:ilvl w:val="8"/>
        <w:numId w:val="7"/>
      </w:numPr>
    </w:pPr>
  </w:style>
  <w:style w:type="paragraph" w:customStyle="1" w:styleId="ScheduleL1">
    <w:name w:val="Schedule L1"/>
    <w:basedOn w:val="HouseStyleBase"/>
    <w:rsid w:val="00AA7115"/>
    <w:pPr>
      <w:numPr>
        <w:numId w:val="3"/>
      </w:numPr>
      <w:outlineLvl w:val="0"/>
    </w:pPr>
  </w:style>
  <w:style w:type="paragraph" w:customStyle="1" w:styleId="ScheduleL2">
    <w:name w:val="Schedule L2"/>
    <w:basedOn w:val="HouseStyleBase"/>
    <w:rsid w:val="00AA7115"/>
    <w:pPr>
      <w:numPr>
        <w:ilvl w:val="1"/>
        <w:numId w:val="3"/>
      </w:numPr>
      <w:outlineLvl w:val="1"/>
    </w:pPr>
  </w:style>
  <w:style w:type="paragraph" w:customStyle="1" w:styleId="ScheduleL3">
    <w:name w:val="Schedule L3"/>
    <w:basedOn w:val="HouseStyleBase"/>
    <w:rsid w:val="00AA7115"/>
    <w:pPr>
      <w:numPr>
        <w:ilvl w:val="2"/>
        <w:numId w:val="3"/>
      </w:numPr>
      <w:outlineLvl w:val="2"/>
    </w:pPr>
  </w:style>
  <w:style w:type="paragraph" w:customStyle="1" w:styleId="ScheduleL4">
    <w:name w:val="Schedule L4"/>
    <w:basedOn w:val="HouseStyleBase"/>
    <w:rsid w:val="00AA7115"/>
    <w:pPr>
      <w:numPr>
        <w:ilvl w:val="3"/>
        <w:numId w:val="3"/>
      </w:numPr>
      <w:outlineLvl w:val="3"/>
    </w:pPr>
  </w:style>
  <w:style w:type="paragraph" w:customStyle="1" w:styleId="ScheduleL5">
    <w:name w:val="Schedule L5"/>
    <w:basedOn w:val="HouseStyleBase"/>
    <w:rsid w:val="00AA7115"/>
    <w:pPr>
      <w:numPr>
        <w:ilvl w:val="4"/>
        <w:numId w:val="3"/>
      </w:numPr>
      <w:outlineLvl w:val="4"/>
    </w:pPr>
  </w:style>
  <w:style w:type="paragraph" w:customStyle="1" w:styleId="ScheduleL6">
    <w:name w:val="Schedule L6"/>
    <w:basedOn w:val="HouseStyleBase"/>
    <w:rsid w:val="00AA7115"/>
    <w:pPr>
      <w:numPr>
        <w:ilvl w:val="5"/>
        <w:numId w:val="3"/>
      </w:numPr>
      <w:outlineLvl w:val="5"/>
    </w:pPr>
  </w:style>
  <w:style w:type="paragraph" w:customStyle="1" w:styleId="ScheduleL7">
    <w:name w:val="Schedule L7"/>
    <w:basedOn w:val="HouseStyleBase"/>
    <w:rsid w:val="00AA7115"/>
    <w:pPr>
      <w:numPr>
        <w:ilvl w:val="6"/>
        <w:numId w:val="3"/>
      </w:numPr>
      <w:outlineLvl w:val="6"/>
    </w:pPr>
  </w:style>
  <w:style w:type="paragraph" w:customStyle="1" w:styleId="ScheduleL8">
    <w:name w:val="Schedule L8"/>
    <w:basedOn w:val="HouseStyleBase"/>
    <w:rsid w:val="00AA7115"/>
    <w:pPr>
      <w:numPr>
        <w:ilvl w:val="7"/>
        <w:numId w:val="3"/>
      </w:numPr>
      <w:outlineLvl w:val="7"/>
    </w:pPr>
  </w:style>
  <w:style w:type="paragraph" w:customStyle="1" w:styleId="ScheduleL9">
    <w:name w:val="Schedule L9"/>
    <w:basedOn w:val="HouseStyleBase"/>
    <w:rsid w:val="00AA7115"/>
    <w:pPr>
      <w:numPr>
        <w:ilvl w:val="8"/>
        <w:numId w:val="3"/>
      </w:numPr>
      <w:outlineLvl w:val="8"/>
    </w:pPr>
  </w:style>
  <w:style w:type="paragraph" w:styleId="BodyText2">
    <w:name w:val="Body Text 2"/>
    <w:basedOn w:val="Normal"/>
    <w:link w:val="BodyText2Char"/>
    <w:rsid w:val="00AA7115"/>
    <w:pPr>
      <w:spacing w:after="120"/>
    </w:pPr>
  </w:style>
  <w:style w:type="paragraph" w:customStyle="1" w:styleId="HouseStyleBaseCentred">
    <w:name w:val="House Style Base Centred"/>
    <w:rsid w:val="00AA7115"/>
    <w:pPr>
      <w:adjustRightInd w:val="0"/>
      <w:spacing w:after="240"/>
    </w:pPr>
    <w:rPr>
      <w:rFonts w:eastAsia="STZhongsong"/>
      <w:lang w:eastAsia="zh-CN"/>
    </w:rPr>
  </w:style>
  <w:style w:type="paragraph" w:customStyle="1" w:styleId="MarginTextHang">
    <w:name w:val="Margin Text Hang"/>
    <w:basedOn w:val="HouseStyleBase"/>
    <w:rsid w:val="00AA7115"/>
    <w:pPr>
      <w:overflowPunct w:val="0"/>
      <w:autoSpaceDE w:val="0"/>
      <w:autoSpaceDN w:val="0"/>
      <w:ind w:left="720" w:hanging="720"/>
      <w:textAlignment w:val="baseline"/>
    </w:pPr>
  </w:style>
  <w:style w:type="paragraph" w:customStyle="1" w:styleId="SchSection">
    <w:name w:val="SchSection"/>
    <w:basedOn w:val="HouseStyleBaseCentred"/>
    <w:next w:val="MarginText"/>
    <w:rsid w:val="00AA7115"/>
    <w:pPr>
      <w:keepNext/>
      <w:numPr>
        <w:ilvl w:val="2"/>
        <w:numId w:val="6"/>
      </w:numPr>
      <w:jc w:val="center"/>
      <w:outlineLvl w:val="2"/>
    </w:pPr>
    <w:rPr>
      <w:b/>
    </w:rPr>
  </w:style>
  <w:style w:type="paragraph" w:customStyle="1" w:styleId="Table-followingparagraph">
    <w:name w:val="Table - following paragraph"/>
    <w:basedOn w:val="HouseStyleBase"/>
    <w:next w:val="MarginText"/>
    <w:rsid w:val="00AA7115"/>
    <w:pPr>
      <w:spacing w:after="0"/>
    </w:pPr>
  </w:style>
  <w:style w:type="paragraph" w:customStyle="1" w:styleId="Table-Text">
    <w:name w:val="Table - Text"/>
    <w:basedOn w:val="HouseStyleBase"/>
    <w:rsid w:val="00AA7115"/>
    <w:pPr>
      <w:spacing w:before="120" w:after="120"/>
      <w:jc w:val="left"/>
    </w:pPr>
  </w:style>
  <w:style w:type="paragraph" w:customStyle="1" w:styleId="AppPart">
    <w:name w:val="AppPart"/>
    <w:basedOn w:val="HouseStyleBaseCentred"/>
    <w:rsid w:val="00AA7115"/>
    <w:pPr>
      <w:numPr>
        <w:ilvl w:val="1"/>
        <w:numId w:val="4"/>
      </w:numPr>
      <w:jc w:val="center"/>
      <w:outlineLvl w:val="1"/>
    </w:pPr>
    <w:rPr>
      <w:b/>
    </w:rPr>
  </w:style>
  <w:style w:type="paragraph" w:customStyle="1" w:styleId="RecitalNumbering2">
    <w:name w:val="Recital Numbering 2"/>
    <w:basedOn w:val="HouseStyleBase"/>
    <w:rsid w:val="00AA7115"/>
    <w:pPr>
      <w:numPr>
        <w:ilvl w:val="1"/>
        <w:numId w:val="8"/>
      </w:numPr>
      <w:overflowPunct w:val="0"/>
      <w:autoSpaceDE w:val="0"/>
      <w:autoSpaceDN w:val="0"/>
      <w:textAlignment w:val="baseline"/>
    </w:pPr>
  </w:style>
  <w:style w:type="paragraph" w:customStyle="1" w:styleId="RecitalNumbering3">
    <w:name w:val="Recital Numbering 3"/>
    <w:basedOn w:val="HouseStyleBase"/>
    <w:rsid w:val="00AA7115"/>
    <w:pPr>
      <w:numPr>
        <w:ilvl w:val="2"/>
        <w:numId w:val="8"/>
      </w:numPr>
      <w:overflowPunct w:val="0"/>
      <w:autoSpaceDE w:val="0"/>
      <w:autoSpaceDN w:val="0"/>
      <w:textAlignment w:val="baseline"/>
    </w:pPr>
  </w:style>
  <w:style w:type="paragraph" w:styleId="BalloonText">
    <w:name w:val="Balloon Text"/>
    <w:basedOn w:val="Normal"/>
    <w:link w:val="BalloonTextChar"/>
    <w:semiHidden/>
    <w:rsid w:val="00AA7115"/>
    <w:rPr>
      <w:rFonts w:ascii="Tahoma" w:hAnsi="Tahoma" w:cs="Tahoma"/>
      <w:sz w:val="16"/>
      <w:szCs w:val="16"/>
    </w:rPr>
  </w:style>
  <w:style w:type="paragraph" w:styleId="BlockText">
    <w:name w:val="Block Text"/>
    <w:basedOn w:val="Normal"/>
    <w:rsid w:val="00AA7115"/>
    <w:pPr>
      <w:spacing w:after="120"/>
      <w:ind w:left="1440" w:right="1440"/>
    </w:pPr>
  </w:style>
  <w:style w:type="paragraph" w:styleId="BodyText3">
    <w:name w:val="Body Text 3"/>
    <w:basedOn w:val="Normal"/>
    <w:rsid w:val="00AA7115"/>
    <w:pPr>
      <w:spacing w:after="120"/>
    </w:pPr>
    <w:rPr>
      <w:sz w:val="16"/>
      <w:szCs w:val="16"/>
    </w:rPr>
  </w:style>
  <w:style w:type="paragraph" w:styleId="BodyTextFirstIndent">
    <w:name w:val="Body Text First Indent"/>
    <w:basedOn w:val="BodyText"/>
    <w:rsid w:val="00AA7115"/>
    <w:pPr>
      <w:overflowPunct/>
      <w:autoSpaceDE/>
      <w:autoSpaceDN/>
      <w:adjustRightInd/>
      <w:ind w:firstLine="210"/>
      <w:jc w:val="left"/>
      <w:textAlignment w:val="auto"/>
    </w:pPr>
    <w:rPr>
      <w:rFonts w:eastAsia="SimSun"/>
      <w:szCs w:val="24"/>
      <w:lang w:eastAsia="zh-CN"/>
    </w:rPr>
  </w:style>
  <w:style w:type="paragraph" w:styleId="BodyTextFirstIndent2">
    <w:name w:val="Body Text First Indent 2"/>
    <w:basedOn w:val="BodyTextIndent"/>
    <w:rsid w:val="00AA7115"/>
    <w:pPr>
      <w:numPr>
        <w:numId w:val="0"/>
      </w:numPr>
      <w:adjustRightInd/>
      <w:spacing w:after="120"/>
      <w:ind w:left="283" w:firstLine="210"/>
      <w:jc w:val="left"/>
    </w:pPr>
    <w:rPr>
      <w:rFonts w:eastAsia="SimSun"/>
      <w:szCs w:val="24"/>
    </w:rPr>
  </w:style>
  <w:style w:type="paragraph" w:styleId="Closing">
    <w:name w:val="Closing"/>
    <w:basedOn w:val="Normal"/>
    <w:rsid w:val="00AA7115"/>
    <w:pPr>
      <w:ind w:left="4252"/>
    </w:pPr>
  </w:style>
  <w:style w:type="character" w:styleId="CommentReference">
    <w:name w:val="annotation reference"/>
    <w:basedOn w:val="DefaultParagraphFont"/>
    <w:semiHidden/>
    <w:rsid w:val="00AA7115"/>
    <w:rPr>
      <w:sz w:val="16"/>
      <w:szCs w:val="16"/>
    </w:rPr>
  </w:style>
  <w:style w:type="paragraph" w:styleId="CommentText">
    <w:name w:val="annotation text"/>
    <w:basedOn w:val="Normal"/>
    <w:link w:val="CommentTextChar"/>
    <w:semiHidden/>
    <w:rsid w:val="00AA7115"/>
    <w:rPr>
      <w:sz w:val="20"/>
      <w:szCs w:val="20"/>
    </w:rPr>
  </w:style>
  <w:style w:type="paragraph" w:styleId="CommentSubject">
    <w:name w:val="annotation subject"/>
    <w:basedOn w:val="CommentText"/>
    <w:next w:val="CommentText"/>
    <w:link w:val="CommentSubjectChar"/>
    <w:semiHidden/>
    <w:rsid w:val="00AA7115"/>
    <w:rPr>
      <w:b/>
      <w:bCs/>
    </w:rPr>
  </w:style>
  <w:style w:type="paragraph" w:styleId="Date">
    <w:name w:val="Date"/>
    <w:basedOn w:val="Normal"/>
    <w:next w:val="Normal"/>
    <w:rsid w:val="00AA7115"/>
  </w:style>
  <w:style w:type="paragraph" w:styleId="DocumentMap">
    <w:name w:val="Document Map"/>
    <w:basedOn w:val="Normal"/>
    <w:semiHidden/>
    <w:rsid w:val="00AA7115"/>
    <w:pPr>
      <w:shd w:val="clear" w:color="auto" w:fill="000080"/>
    </w:pPr>
    <w:rPr>
      <w:rFonts w:ascii="Tahoma" w:hAnsi="Tahoma" w:cs="Tahoma"/>
      <w:sz w:val="20"/>
      <w:szCs w:val="20"/>
    </w:rPr>
  </w:style>
  <w:style w:type="paragraph" w:styleId="EmailSignature">
    <w:name w:val="E-mail Signature"/>
    <w:basedOn w:val="Normal"/>
    <w:rsid w:val="00AA7115"/>
  </w:style>
  <w:style w:type="character" w:styleId="Emphasis">
    <w:name w:val="Emphasis"/>
    <w:basedOn w:val="DefaultParagraphFont"/>
    <w:qFormat/>
    <w:rsid w:val="00AA7115"/>
    <w:rPr>
      <w:i/>
      <w:iCs/>
    </w:rPr>
  </w:style>
  <w:style w:type="paragraph" w:styleId="EnvelopeAddress">
    <w:name w:val="envelope address"/>
    <w:basedOn w:val="Normal"/>
    <w:rsid w:val="00AA7115"/>
    <w:pPr>
      <w:framePr w:w="7920" w:h="1980" w:hRule="exact" w:hSpace="180" w:wrap="auto" w:hAnchor="page" w:xAlign="center" w:yAlign="bottom"/>
      <w:ind w:left="2880"/>
    </w:pPr>
    <w:rPr>
      <w:sz w:val="24"/>
    </w:rPr>
  </w:style>
  <w:style w:type="paragraph" w:styleId="EnvelopeReturn">
    <w:name w:val="envelope return"/>
    <w:basedOn w:val="Normal"/>
    <w:rsid w:val="00AA7115"/>
    <w:rPr>
      <w:sz w:val="20"/>
      <w:szCs w:val="20"/>
    </w:rPr>
  </w:style>
  <w:style w:type="character" w:styleId="FollowedHyperlink">
    <w:name w:val="FollowedHyperlink"/>
    <w:basedOn w:val="DefaultParagraphFont"/>
    <w:rsid w:val="00AA7115"/>
    <w:rPr>
      <w:color w:val="800080"/>
      <w:u w:val="single"/>
    </w:rPr>
  </w:style>
  <w:style w:type="character" w:styleId="HTMLAcronym">
    <w:name w:val="HTML Acronym"/>
    <w:basedOn w:val="DefaultParagraphFont"/>
    <w:rsid w:val="00AA7115"/>
  </w:style>
  <w:style w:type="paragraph" w:styleId="HTMLAddress">
    <w:name w:val="HTML Address"/>
    <w:basedOn w:val="Normal"/>
    <w:rsid w:val="00AA7115"/>
    <w:rPr>
      <w:i/>
      <w:iCs/>
    </w:rPr>
  </w:style>
  <w:style w:type="character" w:styleId="HTMLCite">
    <w:name w:val="HTML Cite"/>
    <w:basedOn w:val="DefaultParagraphFont"/>
    <w:rsid w:val="00AA7115"/>
    <w:rPr>
      <w:i/>
      <w:iCs/>
    </w:rPr>
  </w:style>
  <w:style w:type="character" w:styleId="HTMLCode">
    <w:name w:val="HTML Code"/>
    <w:basedOn w:val="DefaultParagraphFont"/>
    <w:rsid w:val="00AA7115"/>
    <w:rPr>
      <w:rFonts w:ascii="Courier New" w:hAnsi="Courier New" w:cs="Courier New"/>
      <w:sz w:val="20"/>
      <w:szCs w:val="20"/>
    </w:rPr>
  </w:style>
  <w:style w:type="character" w:styleId="HTMLDefinition">
    <w:name w:val="HTML Definition"/>
    <w:basedOn w:val="DefaultParagraphFont"/>
    <w:rsid w:val="00AA7115"/>
    <w:rPr>
      <w:i/>
      <w:iCs/>
    </w:rPr>
  </w:style>
  <w:style w:type="character" w:styleId="HTMLKeyboard">
    <w:name w:val="HTML Keyboard"/>
    <w:basedOn w:val="DefaultParagraphFont"/>
    <w:rsid w:val="00AA7115"/>
    <w:rPr>
      <w:rFonts w:ascii="Courier New" w:hAnsi="Courier New" w:cs="Courier New"/>
      <w:sz w:val="20"/>
      <w:szCs w:val="20"/>
    </w:rPr>
  </w:style>
  <w:style w:type="paragraph" w:styleId="HTMLPreformatted">
    <w:name w:val="HTML Preformatted"/>
    <w:basedOn w:val="Normal"/>
    <w:rsid w:val="00AA7115"/>
    <w:rPr>
      <w:rFonts w:ascii="Courier New" w:hAnsi="Courier New" w:cs="Courier New"/>
      <w:sz w:val="20"/>
      <w:szCs w:val="20"/>
    </w:rPr>
  </w:style>
  <w:style w:type="character" w:styleId="HTMLSample">
    <w:name w:val="HTML Sample"/>
    <w:basedOn w:val="DefaultParagraphFont"/>
    <w:rsid w:val="00AA7115"/>
    <w:rPr>
      <w:rFonts w:ascii="Courier New" w:hAnsi="Courier New" w:cs="Courier New"/>
    </w:rPr>
  </w:style>
  <w:style w:type="character" w:styleId="HTMLTypewriter">
    <w:name w:val="HTML Typewriter"/>
    <w:basedOn w:val="DefaultParagraphFont"/>
    <w:rsid w:val="00AA7115"/>
    <w:rPr>
      <w:rFonts w:ascii="Courier New" w:hAnsi="Courier New" w:cs="Courier New"/>
      <w:sz w:val="20"/>
      <w:szCs w:val="20"/>
    </w:rPr>
  </w:style>
  <w:style w:type="character" w:styleId="HTMLVariable">
    <w:name w:val="HTML Variable"/>
    <w:basedOn w:val="DefaultParagraphFont"/>
    <w:rsid w:val="00AA7115"/>
    <w:rPr>
      <w:i/>
      <w:iCs/>
    </w:rPr>
  </w:style>
  <w:style w:type="character" w:styleId="Hyperlink">
    <w:name w:val="Hyperlink"/>
    <w:basedOn w:val="DefaultParagraphFont"/>
    <w:uiPriority w:val="99"/>
    <w:rsid w:val="00AA7115"/>
    <w:rPr>
      <w:color w:val="0000FF"/>
      <w:u w:val="single"/>
    </w:rPr>
  </w:style>
  <w:style w:type="paragraph" w:styleId="Index3">
    <w:name w:val="index 3"/>
    <w:basedOn w:val="Normal"/>
    <w:next w:val="Normal"/>
    <w:autoRedefine/>
    <w:semiHidden/>
    <w:rsid w:val="00AA7115"/>
    <w:pPr>
      <w:ind w:left="660" w:hanging="220"/>
    </w:pPr>
  </w:style>
  <w:style w:type="paragraph" w:styleId="Index4">
    <w:name w:val="index 4"/>
    <w:basedOn w:val="Normal"/>
    <w:next w:val="Normal"/>
    <w:autoRedefine/>
    <w:semiHidden/>
    <w:rsid w:val="00AA7115"/>
    <w:pPr>
      <w:ind w:left="880" w:hanging="220"/>
    </w:pPr>
  </w:style>
  <w:style w:type="paragraph" w:styleId="Index5">
    <w:name w:val="index 5"/>
    <w:basedOn w:val="Normal"/>
    <w:next w:val="Normal"/>
    <w:autoRedefine/>
    <w:semiHidden/>
    <w:rsid w:val="00AA7115"/>
    <w:pPr>
      <w:ind w:left="1100" w:hanging="220"/>
    </w:pPr>
  </w:style>
  <w:style w:type="paragraph" w:styleId="Index6">
    <w:name w:val="index 6"/>
    <w:basedOn w:val="Normal"/>
    <w:next w:val="Normal"/>
    <w:autoRedefine/>
    <w:semiHidden/>
    <w:rsid w:val="00AA7115"/>
    <w:pPr>
      <w:ind w:left="1320" w:hanging="220"/>
    </w:pPr>
  </w:style>
  <w:style w:type="paragraph" w:styleId="Index7">
    <w:name w:val="index 7"/>
    <w:basedOn w:val="Normal"/>
    <w:next w:val="Normal"/>
    <w:autoRedefine/>
    <w:semiHidden/>
    <w:rsid w:val="00AA7115"/>
    <w:pPr>
      <w:ind w:left="1540" w:hanging="220"/>
    </w:pPr>
  </w:style>
  <w:style w:type="paragraph" w:styleId="Index8">
    <w:name w:val="index 8"/>
    <w:basedOn w:val="Normal"/>
    <w:next w:val="Normal"/>
    <w:autoRedefine/>
    <w:semiHidden/>
    <w:rsid w:val="00AA7115"/>
    <w:pPr>
      <w:ind w:left="1760" w:hanging="220"/>
    </w:pPr>
  </w:style>
  <w:style w:type="paragraph" w:styleId="Index9">
    <w:name w:val="index 9"/>
    <w:basedOn w:val="Normal"/>
    <w:next w:val="Normal"/>
    <w:autoRedefine/>
    <w:semiHidden/>
    <w:rsid w:val="00AA7115"/>
    <w:pPr>
      <w:ind w:left="1980" w:hanging="220"/>
    </w:pPr>
  </w:style>
  <w:style w:type="paragraph" w:styleId="IndexHeading">
    <w:name w:val="index heading"/>
    <w:basedOn w:val="Normal"/>
    <w:next w:val="Index1"/>
    <w:semiHidden/>
    <w:rsid w:val="00AA7115"/>
    <w:rPr>
      <w:b/>
      <w:bCs/>
    </w:rPr>
  </w:style>
  <w:style w:type="character" w:styleId="LineNumber">
    <w:name w:val="line number"/>
    <w:basedOn w:val="DefaultParagraphFont"/>
    <w:rsid w:val="00AA7115"/>
  </w:style>
  <w:style w:type="paragraph" w:styleId="List">
    <w:name w:val="List"/>
    <w:basedOn w:val="Normal"/>
    <w:rsid w:val="00AA7115"/>
    <w:pPr>
      <w:ind w:left="283" w:hanging="283"/>
    </w:pPr>
  </w:style>
  <w:style w:type="paragraph" w:styleId="List2">
    <w:name w:val="List 2"/>
    <w:basedOn w:val="Normal"/>
    <w:rsid w:val="00AA7115"/>
    <w:pPr>
      <w:ind w:left="566" w:hanging="283"/>
    </w:pPr>
  </w:style>
  <w:style w:type="paragraph" w:styleId="List3">
    <w:name w:val="List 3"/>
    <w:basedOn w:val="Normal"/>
    <w:rsid w:val="00AA7115"/>
    <w:pPr>
      <w:ind w:left="849" w:hanging="283"/>
    </w:pPr>
  </w:style>
  <w:style w:type="paragraph" w:styleId="List4">
    <w:name w:val="List 4"/>
    <w:basedOn w:val="Normal"/>
    <w:rsid w:val="00AA7115"/>
    <w:pPr>
      <w:ind w:left="1132" w:hanging="283"/>
    </w:pPr>
  </w:style>
  <w:style w:type="paragraph" w:styleId="List5">
    <w:name w:val="List 5"/>
    <w:basedOn w:val="Normal"/>
    <w:rsid w:val="00AA7115"/>
    <w:pPr>
      <w:ind w:left="1415" w:hanging="283"/>
    </w:pPr>
  </w:style>
  <w:style w:type="paragraph" w:styleId="ListContinue">
    <w:name w:val="List Continue"/>
    <w:basedOn w:val="Normal"/>
    <w:rsid w:val="00AA7115"/>
    <w:pPr>
      <w:spacing w:after="120"/>
      <w:ind w:left="283"/>
    </w:pPr>
  </w:style>
  <w:style w:type="paragraph" w:styleId="ListContinue2">
    <w:name w:val="List Continue 2"/>
    <w:basedOn w:val="Normal"/>
    <w:rsid w:val="00AA7115"/>
    <w:pPr>
      <w:spacing w:after="120"/>
      <w:ind w:left="566"/>
    </w:pPr>
  </w:style>
  <w:style w:type="paragraph" w:styleId="ListContinue3">
    <w:name w:val="List Continue 3"/>
    <w:basedOn w:val="Normal"/>
    <w:rsid w:val="00AA7115"/>
    <w:pPr>
      <w:spacing w:after="120"/>
      <w:ind w:left="849"/>
    </w:pPr>
  </w:style>
  <w:style w:type="paragraph" w:styleId="ListContinue4">
    <w:name w:val="List Continue 4"/>
    <w:basedOn w:val="Normal"/>
    <w:rsid w:val="00AA7115"/>
    <w:pPr>
      <w:spacing w:after="120"/>
      <w:ind w:left="1132"/>
    </w:pPr>
  </w:style>
  <w:style w:type="paragraph" w:styleId="ListContinue5">
    <w:name w:val="List Continue 5"/>
    <w:basedOn w:val="Normal"/>
    <w:rsid w:val="00AA7115"/>
    <w:pPr>
      <w:spacing w:after="120"/>
      <w:ind w:left="1415"/>
    </w:pPr>
  </w:style>
  <w:style w:type="paragraph" w:styleId="ListNumber">
    <w:name w:val="List Number"/>
    <w:basedOn w:val="Normal"/>
    <w:rsid w:val="00AA7115"/>
    <w:pPr>
      <w:numPr>
        <w:numId w:val="9"/>
      </w:numPr>
    </w:pPr>
  </w:style>
  <w:style w:type="paragraph" w:styleId="ListNumber2">
    <w:name w:val="List Number 2"/>
    <w:basedOn w:val="Normal"/>
    <w:rsid w:val="00AA7115"/>
    <w:pPr>
      <w:numPr>
        <w:numId w:val="10"/>
      </w:numPr>
    </w:pPr>
  </w:style>
  <w:style w:type="paragraph" w:styleId="ListNumber3">
    <w:name w:val="List Number 3"/>
    <w:basedOn w:val="Normal"/>
    <w:rsid w:val="00AA7115"/>
    <w:pPr>
      <w:numPr>
        <w:numId w:val="11"/>
      </w:numPr>
    </w:pPr>
  </w:style>
  <w:style w:type="paragraph" w:styleId="ListNumber4">
    <w:name w:val="List Number 4"/>
    <w:basedOn w:val="Normal"/>
    <w:rsid w:val="00AA7115"/>
    <w:pPr>
      <w:numPr>
        <w:numId w:val="12"/>
      </w:numPr>
    </w:pPr>
  </w:style>
  <w:style w:type="paragraph" w:styleId="ListNumber5">
    <w:name w:val="List Number 5"/>
    <w:basedOn w:val="Normal"/>
    <w:rsid w:val="00AA7115"/>
    <w:pPr>
      <w:tabs>
        <w:tab w:val="num" w:pos="1492"/>
      </w:tabs>
      <w:ind w:left="1492" w:hanging="360"/>
    </w:pPr>
  </w:style>
  <w:style w:type="paragraph" w:styleId="MacroText">
    <w:name w:val="macro"/>
    <w:semiHidden/>
    <w:rsid w:val="00AA7115"/>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paragraph" w:styleId="MessageHeader">
    <w:name w:val="Message Header"/>
    <w:basedOn w:val="Normal"/>
    <w:rsid w:val="00AA7115"/>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ormalWeb">
    <w:name w:val="Normal (Web)"/>
    <w:basedOn w:val="Normal"/>
    <w:uiPriority w:val="99"/>
    <w:rsid w:val="00AA7115"/>
    <w:rPr>
      <w:sz w:val="24"/>
    </w:rPr>
  </w:style>
  <w:style w:type="paragraph" w:styleId="NormalIndent">
    <w:name w:val="Normal Indent"/>
    <w:basedOn w:val="Normal"/>
    <w:rsid w:val="00AA7115"/>
    <w:pPr>
      <w:ind w:left="720"/>
    </w:pPr>
  </w:style>
  <w:style w:type="paragraph" w:styleId="NoteHeading">
    <w:name w:val="Note Heading"/>
    <w:basedOn w:val="Normal"/>
    <w:next w:val="Normal"/>
    <w:rsid w:val="00AA7115"/>
  </w:style>
  <w:style w:type="paragraph" w:styleId="PlainText">
    <w:name w:val="Plain Text"/>
    <w:basedOn w:val="Normal"/>
    <w:rsid w:val="00AA7115"/>
    <w:rPr>
      <w:rFonts w:ascii="Courier New" w:hAnsi="Courier New" w:cs="Courier New"/>
      <w:sz w:val="20"/>
      <w:szCs w:val="20"/>
    </w:rPr>
  </w:style>
  <w:style w:type="paragraph" w:styleId="Salutation">
    <w:name w:val="Salutation"/>
    <w:basedOn w:val="Normal"/>
    <w:next w:val="Normal"/>
    <w:rsid w:val="00AA7115"/>
  </w:style>
  <w:style w:type="paragraph" w:styleId="Signature">
    <w:name w:val="Signature"/>
    <w:basedOn w:val="Normal"/>
    <w:rsid w:val="00AA7115"/>
    <w:pPr>
      <w:ind w:left="4252"/>
    </w:pPr>
  </w:style>
  <w:style w:type="character" w:styleId="Strong">
    <w:name w:val="Strong"/>
    <w:basedOn w:val="DefaultParagraphFont"/>
    <w:qFormat/>
    <w:rsid w:val="00AA7115"/>
    <w:rPr>
      <w:b/>
      <w:bCs/>
    </w:rPr>
  </w:style>
  <w:style w:type="paragraph" w:styleId="Subtitle">
    <w:name w:val="Subtitle"/>
    <w:basedOn w:val="Normal"/>
    <w:next w:val="Normal"/>
    <w:uiPriority w:val="11"/>
    <w:qFormat/>
    <w:pPr>
      <w:spacing w:after="60"/>
      <w:jc w:val="center"/>
    </w:pPr>
    <w:rPr>
      <w:sz w:val="24"/>
    </w:rPr>
  </w:style>
  <w:style w:type="table" w:styleId="Table3Deffects1">
    <w:name w:val="Table 3D effects 1"/>
    <w:basedOn w:val="TableNormal"/>
    <w:rsid w:val="00AA711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A711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A711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A711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A711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A711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A711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rsid w:val="00AA711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rsid w:val="00AA711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rsid w:val="00AA711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A711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A711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A711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A711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A711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A711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A711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A711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A711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A711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A711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A711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A711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AA711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A711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A711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A711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A711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A711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AA7115"/>
    <w:pPr>
      <w:ind w:left="220" w:hanging="220"/>
    </w:pPr>
  </w:style>
  <w:style w:type="paragraph" w:styleId="TableofFigures">
    <w:name w:val="table of figures"/>
    <w:basedOn w:val="Normal"/>
    <w:next w:val="Normal"/>
    <w:semiHidden/>
    <w:rsid w:val="00AA7115"/>
  </w:style>
  <w:style w:type="table" w:styleId="TableProfessional">
    <w:name w:val="Table Professional"/>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A711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A711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A711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A711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11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A711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A711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A711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Paragraph">
    <w:name w:val="List Paragraph"/>
    <w:basedOn w:val="Normal"/>
    <w:uiPriority w:val="34"/>
    <w:qFormat/>
    <w:rsid w:val="00AA7115"/>
    <w:pPr>
      <w:ind w:left="720"/>
    </w:p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AA7115"/>
    <w:rPr>
      <w:rFonts w:ascii="Arial" w:eastAsia="STZhongsong" w:hAnsi="Arial"/>
      <w:sz w:val="22"/>
      <w:lang w:eastAsia="zh-CN"/>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AA7115"/>
    <w:pPr>
      <w:spacing w:before="120" w:after="120"/>
    </w:pPr>
    <w:rPr>
      <w:rFonts w:eastAsia="Times New Roman"/>
      <w:szCs w:val="22"/>
      <w:lang w:val="en-US" w:eastAsia="en-US"/>
    </w:rPr>
  </w:style>
  <w:style w:type="character" w:customStyle="1" w:styleId="Paragraph3Char">
    <w:name w:val="Paragraph 3 Char"/>
    <w:basedOn w:val="DefaultParagraphFont"/>
    <w:link w:val="Paragraph3"/>
    <w:rsid w:val="00AA7115"/>
    <w:rPr>
      <w:rFonts w:ascii="Arial" w:hAnsi="Arial" w:cs="Arial"/>
      <w:sz w:val="22"/>
      <w:szCs w:val="22"/>
      <w:lang w:val="en-US" w:eastAsia="en-US"/>
    </w:rPr>
  </w:style>
  <w:style w:type="paragraph" w:customStyle="1" w:styleId="BodyText1">
    <w:name w:val="Body Text1"/>
    <w:basedOn w:val="Normal"/>
    <w:rsid w:val="00AA7115"/>
    <w:pPr>
      <w:overflowPunct w:val="0"/>
      <w:autoSpaceDE w:val="0"/>
      <w:autoSpaceDN w:val="0"/>
      <w:adjustRightInd w:val="0"/>
      <w:spacing w:before="240" w:after="120"/>
      <w:textAlignment w:val="baseline"/>
    </w:pPr>
    <w:rPr>
      <w:rFonts w:eastAsia="Times New Roman"/>
      <w:noProof/>
      <w:szCs w:val="20"/>
      <w:lang w:val="en-US" w:eastAsia="en-US"/>
    </w:rPr>
  </w:style>
  <w:style w:type="paragraph" w:customStyle="1" w:styleId="Paragraph1">
    <w:name w:val="Paragraph 1"/>
    <w:basedOn w:val="Normal"/>
    <w:rsid w:val="00AA7115"/>
    <w:pPr>
      <w:spacing w:before="120" w:after="120"/>
    </w:pPr>
    <w:rPr>
      <w:rFonts w:eastAsia="Times New Roman"/>
      <w:b/>
      <w:lang w:eastAsia="en-US"/>
    </w:rPr>
  </w:style>
  <w:style w:type="paragraph" w:customStyle="1" w:styleId="ScheduleLevel1">
    <w:name w:val="Schedule Level 1"/>
    <w:basedOn w:val="Normal"/>
    <w:rsid w:val="00AA7115"/>
    <w:pPr>
      <w:tabs>
        <w:tab w:val="num" w:pos="720"/>
      </w:tabs>
      <w:spacing w:after="240"/>
      <w:ind w:left="720" w:hanging="720"/>
      <w:jc w:val="both"/>
    </w:pPr>
    <w:rPr>
      <w:rFonts w:eastAsia="Times New Roman"/>
      <w:szCs w:val="20"/>
      <w:lang w:eastAsia="en-US"/>
    </w:rPr>
  </w:style>
  <w:style w:type="paragraph" w:customStyle="1" w:styleId="ScheduleLevel2">
    <w:name w:val="Schedule Level 2"/>
    <w:basedOn w:val="ScheduleL2"/>
    <w:rsid w:val="003D4F07"/>
  </w:style>
  <w:style w:type="paragraph" w:customStyle="1" w:styleId="ScheduleLevel3">
    <w:name w:val="Schedule Level 3"/>
    <w:basedOn w:val="Normal"/>
    <w:rsid w:val="00AA7115"/>
    <w:pPr>
      <w:numPr>
        <w:ilvl w:val="2"/>
        <w:numId w:val="13"/>
      </w:numPr>
      <w:spacing w:after="240"/>
      <w:jc w:val="both"/>
    </w:pPr>
    <w:rPr>
      <w:rFonts w:eastAsia="Times New Roman"/>
      <w:szCs w:val="20"/>
      <w:lang w:eastAsia="en-US"/>
    </w:rPr>
  </w:style>
  <w:style w:type="paragraph" w:customStyle="1" w:styleId="ScheduleLevel4">
    <w:name w:val="Schedule Level 4"/>
    <w:basedOn w:val="Normal"/>
    <w:rsid w:val="00AA7115"/>
    <w:pPr>
      <w:numPr>
        <w:ilvl w:val="3"/>
        <w:numId w:val="13"/>
      </w:numPr>
      <w:spacing w:after="240"/>
      <w:jc w:val="both"/>
    </w:pPr>
    <w:rPr>
      <w:rFonts w:eastAsia="Times New Roman"/>
      <w:szCs w:val="20"/>
      <w:lang w:eastAsia="en-US"/>
    </w:rPr>
  </w:style>
  <w:style w:type="paragraph" w:customStyle="1" w:styleId="ScheduleLevel5">
    <w:name w:val="Schedule Level 5"/>
    <w:basedOn w:val="Normal"/>
    <w:rsid w:val="00AA7115"/>
    <w:pPr>
      <w:numPr>
        <w:ilvl w:val="4"/>
        <w:numId w:val="13"/>
      </w:numPr>
      <w:spacing w:after="240"/>
      <w:jc w:val="both"/>
    </w:pPr>
    <w:rPr>
      <w:rFonts w:eastAsia="Times New Roman"/>
      <w:szCs w:val="20"/>
      <w:lang w:eastAsia="en-US"/>
    </w:rPr>
  </w:style>
  <w:style w:type="paragraph" w:customStyle="1" w:styleId="ScheduleLevel6">
    <w:name w:val="Schedule Level 6"/>
    <w:basedOn w:val="Normal"/>
    <w:rsid w:val="00AA7115"/>
    <w:pPr>
      <w:numPr>
        <w:ilvl w:val="5"/>
        <w:numId w:val="13"/>
      </w:numPr>
      <w:spacing w:after="240"/>
      <w:jc w:val="both"/>
    </w:pPr>
    <w:rPr>
      <w:rFonts w:eastAsia="Times New Roman"/>
      <w:szCs w:val="20"/>
      <w:lang w:eastAsia="en-US"/>
    </w:rPr>
  </w:style>
  <w:style w:type="paragraph" w:customStyle="1" w:styleId="ScheduleLevel7">
    <w:name w:val="Schedule Level 7"/>
    <w:basedOn w:val="Normal"/>
    <w:rsid w:val="00AA7115"/>
    <w:pPr>
      <w:numPr>
        <w:ilvl w:val="6"/>
        <w:numId w:val="13"/>
      </w:numPr>
      <w:spacing w:after="240"/>
      <w:jc w:val="both"/>
    </w:pPr>
    <w:rPr>
      <w:rFonts w:eastAsia="Times New Roman"/>
      <w:szCs w:val="20"/>
      <w:lang w:eastAsia="en-US"/>
    </w:rPr>
  </w:style>
  <w:style w:type="paragraph" w:customStyle="1" w:styleId="ScheduleLevel8">
    <w:name w:val="Schedule Level 8"/>
    <w:basedOn w:val="Normal"/>
    <w:rsid w:val="00AA7115"/>
    <w:pPr>
      <w:numPr>
        <w:ilvl w:val="7"/>
        <w:numId w:val="13"/>
      </w:numPr>
      <w:spacing w:after="240"/>
      <w:jc w:val="both"/>
    </w:pPr>
    <w:rPr>
      <w:rFonts w:eastAsia="Times New Roman"/>
      <w:szCs w:val="20"/>
      <w:lang w:eastAsia="en-US"/>
    </w:rPr>
  </w:style>
  <w:style w:type="paragraph" w:customStyle="1" w:styleId="ScheduleLevel9">
    <w:name w:val="Schedule Level 9"/>
    <w:basedOn w:val="Normal"/>
    <w:rsid w:val="00AA7115"/>
    <w:pPr>
      <w:numPr>
        <w:ilvl w:val="8"/>
        <w:numId w:val="13"/>
      </w:numPr>
      <w:spacing w:after="240"/>
      <w:jc w:val="both"/>
    </w:pPr>
    <w:rPr>
      <w:rFonts w:eastAsia="Times New Roman"/>
      <w:szCs w:val="20"/>
      <w:lang w:eastAsia="en-US"/>
    </w:rPr>
  </w:style>
  <w:style w:type="paragraph" w:customStyle="1" w:styleId="Paragraph4">
    <w:name w:val="Paragraph 4"/>
    <w:basedOn w:val="Normal"/>
    <w:rsid w:val="00AA7115"/>
    <w:pPr>
      <w:tabs>
        <w:tab w:val="num" w:pos="2700"/>
      </w:tabs>
      <w:spacing w:before="120" w:after="120"/>
      <w:ind w:left="2484" w:hanging="504"/>
    </w:pPr>
    <w:rPr>
      <w:rFonts w:eastAsia="Times New Roman"/>
      <w:lang w:eastAsia="en-US"/>
    </w:rPr>
  </w:style>
  <w:style w:type="paragraph" w:styleId="NoSpacing">
    <w:name w:val="No Spacing"/>
    <w:link w:val="NoSpacingChar"/>
    <w:uiPriority w:val="1"/>
    <w:qFormat/>
    <w:rsid w:val="00AA7115"/>
    <w:rPr>
      <w:rFonts w:ascii="Calibri" w:hAnsi="Calibri"/>
      <w:lang w:val="en-US" w:eastAsia="en-US"/>
    </w:rPr>
  </w:style>
  <w:style w:type="character" w:customStyle="1" w:styleId="NoSpacingChar">
    <w:name w:val="No Spacing Char"/>
    <w:basedOn w:val="DefaultParagraphFont"/>
    <w:link w:val="NoSpacing"/>
    <w:uiPriority w:val="1"/>
    <w:rsid w:val="00AA7115"/>
    <w:rPr>
      <w:rFonts w:ascii="Calibri" w:hAnsi="Calibri"/>
      <w:sz w:val="22"/>
      <w:szCs w:val="22"/>
      <w:lang w:val="en-US" w:eastAsia="en-US" w:bidi="ar-SA"/>
    </w:rPr>
  </w:style>
  <w:style w:type="character" w:customStyle="1" w:styleId="BalloonTextChar">
    <w:name w:val="Balloon Text Char"/>
    <w:basedOn w:val="DefaultParagraphFont"/>
    <w:link w:val="BalloonText"/>
    <w:semiHidden/>
    <w:rsid w:val="00AA7115"/>
    <w:rPr>
      <w:rFonts w:ascii="Tahoma" w:eastAsia="SimSun" w:hAnsi="Tahoma" w:cs="Tahoma"/>
      <w:sz w:val="16"/>
      <w:szCs w:val="16"/>
      <w:lang w:eastAsia="zh-CN"/>
    </w:rPr>
  </w:style>
  <w:style w:type="character" w:customStyle="1" w:styleId="BodyTextIndent2Char">
    <w:name w:val="Body Text Indent 2 Char"/>
    <w:basedOn w:val="DefaultParagraphFont"/>
    <w:link w:val="BodyTextIndent2"/>
    <w:rsid w:val="00AA7115"/>
    <w:rPr>
      <w:rFonts w:ascii="Arial" w:eastAsia="STZhongsong" w:hAnsi="Arial"/>
      <w:sz w:val="22"/>
      <w:lang w:eastAsia="zh-CN"/>
    </w:rPr>
  </w:style>
  <w:style w:type="character" w:customStyle="1" w:styleId="CommentTextChar">
    <w:name w:val="Comment Text Char"/>
    <w:basedOn w:val="DefaultParagraphFont"/>
    <w:link w:val="CommentText"/>
    <w:semiHidden/>
    <w:rsid w:val="00AA7115"/>
    <w:rPr>
      <w:rFonts w:eastAsia="SimSun"/>
      <w:lang w:eastAsia="zh-CN"/>
    </w:rPr>
  </w:style>
  <w:style w:type="character" w:customStyle="1" w:styleId="BodyTextIndent3Char">
    <w:name w:val="Body Text Indent 3 Char"/>
    <w:basedOn w:val="DefaultParagraphFont"/>
    <w:link w:val="BodyTextIndent3"/>
    <w:rsid w:val="00AA7115"/>
    <w:rPr>
      <w:rFonts w:eastAsia="STZhongsong"/>
      <w:sz w:val="22"/>
      <w:lang w:eastAsia="zh-CN"/>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AA7115"/>
    <w:rPr>
      <w:rFonts w:ascii="Arial" w:eastAsia="STZhongsong" w:hAnsi="Arial"/>
      <w:b/>
      <w:caps/>
      <w:sz w:val="2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9"/>
    <w:rsid w:val="00AA7115"/>
    <w:rPr>
      <w:rFonts w:ascii="Arial" w:eastAsia="STZhongsong" w:hAnsi="Arial"/>
      <w:sz w:val="22"/>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9"/>
    <w:rsid w:val="00AA7115"/>
    <w:rPr>
      <w:rFonts w:ascii="Arial" w:eastAsia="STZhongsong" w:hAnsi="Arial"/>
      <w:sz w:val="22"/>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9"/>
    <w:rsid w:val="00AA7115"/>
    <w:rPr>
      <w:rFonts w:ascii="Arial" w:eastAsia="STZhongsong" w:hAnsi="Arial"/>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AA7115"/>
    <w:rPr>
      <w:rFonts w:ascii="Arial" w:eastAsia="STZhongsong" w:hAnsi="Arial"/>
      <w:sz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AA7115"/>
    <w:rPr>
      <w:rFonts w:ascii="Arial" w:eastAsia="STZhongsong" w:hAnsi="Arial"/>
      <w:sz w:val="22"/>
      <w:lang w:eastAsia="zh-CN"/>
    </w:rPr>
  </w:style>
  <w:style w:type="paragraph" w:customStyle="1" w:styleId="StyleHeading120pt">
    <w:name w:val="Style Heading 1 + 20 pt"/>
    <w:basedOn w:val="Heading1"/>
    <w:rsid w:val="00AA7115"/>
    <w:pPr>
      <w:numPr>
        <w:numId w:val="0"/>
      </w:numPr>
      <w:overflowPunct w:val="0"/>
      <w:autoSpaceDE w:val="0"/>
      <w:autoSpaceDN w:val="0"/>
      <w:spacing w:after="440"/>
      <w:ind w:left="431" w:hanging="431"/>
      <w:jc w:val="left"/>
      <w:textAlignment w:val="baseline"/>
    </w:pPr>
    <w:rPr>
      <w:rFonts w:eastAsia="Times New Roman"/>
      <w:bCs/>
      <w:caps w:val="0"/>
      <w:noProof/>
      <w:color w:val="566BBA"/>
      <w:sz w:val="28"/>
      <w:szCs w:val="12"/>
      <w:lang w:eastAsia="en-US"/>
    </w:rPr>
  </w:style>
  <w:style w:type="character" w:customStyle="1" w:styleId="CommentSubjectChar">
    <w:name w:val="Comment Subject Char"/>
    <w:basedOn w:val="CommentTextChar"/>
    <w:link w:val="CommentSubject"/>
    <w:semiHidden/>
    <w:rsid w:val="00AA7115"/>
    <w:rPr>
      <w:rFonts w:eastAsia="SimSun"/>
      <w:b/>
      <w:bCs/>
      <w:lang w:eastAsia="zh-CN"/>
    </w:rPr>
  </w:style>
  <w:style w:type="character" w:customStyle="1" w:styleId="FooterChar">
    <w:name w:val="Footer Char"/>
    <w:basedOn w:val="DefaultParagraphFont"/>
    <w:link w:val="Footer"/>
    <w:uiPriority w:val="99"/>
    <w:rsid w:val="00AA7115"/>
    <w:rPr>
      <w:rFonts w:eastAsia="SimSun"/>
      <w:sz w:val="22"/>
      <w:szCs w:val="24"/>
      <w:lang w:eastAsia="zh-CN"/>
    </w:rPr>
  </w:style>
  <w:style w:type="character" w:customStyle="1" w:styleId="BBLegal2a">
    <w:name w:val="B&amp;B Legal 2a"/>
    <w:basedOn w:val="DefaultParagraphFont"/>
    <w:rsid w:val="00AA7115"/>
  </w:style>
  <w:style w:type="character" w:customStyle="1" w:styleId="TitleChar">
    <w:name w:val="Title Char"/>
    <w:basedOn w:val="DefaultParagraphFont"/>
    <w:link w:val="Title"/>
    <w:rsid w:val="00AA7115"/>
    <w:rPr>
      <w:rFonts w:ascii="Arial" w:eastAsia="SimSun" w:hAnsi="Arial" w:cs="Arial"/>
      <w:b/>
      <w:bCs/>
      <w:kern w:val="28"/>
      <w:sz w:val="32"/>
      <w:szCs w:val="32"/>
      <w:lang w:eastAsia="zh-CN"/>
    </w:rPr>
  </w:style>
  <w:style w:type="character" w:customStyle="1" w:styleId="BodyTextIndentChar">
    <w:name w:val="Body Text Indent Char"/>
    <w:basedOn w:val="DefaultParagraphFont"/>
    <w:link w:val="BodyTextIndent"/>
    <w:rsid w:val="00AA7115"/>
    <w:rPr>
      <w:rFonts w:ascii="Arial" w:eastAsia="STZhongsong" w:hAnsi="Arial"/>
      <w:sz w:val="22"/>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AA7115"/>
    <w:rPr>
      <w:rFonts w:ascii="Arial" w:eastAsia="STZhongsong" w:hAnsi="Arial"/>
      <w:sz w:val="22"/>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AA7115"/>
    <w:rPr>
      <w:rFonts w:ascii="Arial" w:eastAsia="STZhongsong" w:hAnsi="Arial"/>
      <w:sz w:val="22"/>
      <w:lang w:eastAsia="zh-CN"/>
    </w:rPr>
  </w:style>
  <w:style w:type="paragraph" w:customStyle="1" w:styleId="Paragraph2">
    <w:name w:val="Paragraph 2"/>
    <w:basedOn w:val="Normal"/>
    <w:rsid w:val="00AA7115"/>
    <w:pPr>
      <w:spacing w:before="120" w:after="120"/>
    </w:pPr>
    <w:rPr>
      <w:rFonts w:eastAsia="Times New Roman"/>
      <w:b/>
      <w:lang w:eastAsia="en-US"/>
    </w:rPr>
  </w:style>
  <w:style w:type="paragraph" w:customStyle="1" w:styleId="Level1">
    <w:name w:val="Level 1"/>
    <w:basedOn w:val="Normal"/>
    <w:rsid w:val="00AA7115"/>
    <w:pPr>
      <w:tabs>
        <w:tab w:val="num" w:pos="720"/>
      </w:tabs>
      <w:spacing w:after="240"/>
      <w:ind w:left="720" w:hanging="720"/>
      <w:jc w:val="both"/>
    </w:pPr>
    <w:rPr>
      <w:rFonts w:eastAsia="Times New Roman"/>
      <w:szCs w:val="20"/>
      <w:lang w:eastAsia="en-US"/>
    </w:rPr>
  </w:style>
  <w:style w:type="paragraph" w:customStyle="1" w:styleId="Level2">
    <w:name w:val="Level 2"/>
    <w:basedOn w:val="Normal"/>
    <w:rsid w:val="00AA7115"/>
    <w:pPr>
      <w:numPr>
        <w:ilvl w:val="1"/>
        <w:numId w:val="14"/>
      </w:numPr>
      <w:spacing w:after="240"/>
      <w:jc w:val="both"/>
    </w:pPr>
    <w:rPr>
      <w:rFonts w:eastAsia="Times New Roman"/>
      <w:szCs w:val="22"/>
      <w:lang w:eastAsia="en-US"/>
    </w:rPr>
  </w:style>
  <w:style w:type="paragraph" w:customStyle="1" w:styleId="Level3">
    <w:name w:val="Level 3"/>
    <w:basedOn w:val="Normal"/>
    <w:rsid w:val="00AA7115"/>
    <w:pPr>
      <w:tabs>
        <w:tab w:val="num" w:pos="2160"/>
      </w:tabs>
      <w:spacing w:after="240"/>
      <w:ind w:left="2160" w:hanging="720"/>
      <w:jc w:val="both"/>
    </w:pPr>
    <w:rPr>
      <w:rFonts w:eastAsia="Times New Roman"/>
      <w:szCs w:val="20"/>
      <w:lang w:eastAsia="en-US"/>
    </w:rPr>
  </w:style>
  <w:style w:type="paragraph" w:customStyle="1" w:styleId="Level4">
    <w:name w:val="Level 4"/>
    <w:basedOn w:val="Normal"/>
    <w:rsid w:val="00AA7115"/>
    <w:pPr>
      <w:tabs>
        <w:tab w:val="num" w:pos="2880"/>
      </w:tabs>
      <w:spacing w:after="240"/>
      <w:ind w:left="2880" w:hanging="720"/>
      <w:jc w:val="both"/>
    </w:pPr>
    <w:rPr>
      <w:rFonts w:eastAsia="Times New Roman"/>
      <w:szCs w:val="20"/>
      <w:lang w:eastAsia="en-US"/>
    </w:rPr>
  </w:style>
  <w:style w:type="paragraph" w:customStyle="1" w:styleId="Level5">
    <w:name w:val="Level 5"/>
    <w:basedOn w:val="Normal"/>
    <w:rsid w:val="00AA7115"/>
    <w:pPr>
      <w:tabs>
        <w:tab w:val="num" w:pos="3600"/>
      </w:tabs>
      <w:spacing w:after="240"/>
      <w:ind w:left="3600" w:hanging="720"/>
      <w:jc w:val="both"/>
    </w:pPr>
    <w:rPr>
      <w:rFonts w:eastAsia="Times New Roman"/>
      <w:szCs w:val="20"/>
      <w:lang w:eastAsia="en-US"/>
    </w:rPr>
  </w:style>
  <w:style w:type="paragraph" w:customStyle="1" w:styleId="Level6">
    <w:name w:val="Level 6"/>
    <w:basedOn w:val="Normal"/>
    <w:rsid w:val="00AA7115"/>
    <w:pPr>
      <w:tabs>
        <w:tab w:val="num" w:pos="4320"/>
      </w:tabs>
      <w:spacing w:after="240"/>
      <w:ind w:left="4320" w:hanging="720"/>
      <w:jc w:val="both"/>
    </w:pPr>
    <w:rPr>
      <w:rFonts w:eastAsia="Times New Roman"/>
      <w:szCs w:val="20"/>
      <w:lang w:eastAsia="en-US"/>
    </w:rPr>
  </w:style>
  <w:style w:type="paragraph" w:customStyle="1" w:styleId="Level7">
    <w:name w:val="Level 7"/>
    <w:basedOn w:val="Normal"/>
    <w:rsid w:val="00AA7115"/>
    <w:pPr>
      <w:tabs>
        <w:tab w:val="num" w:pos="5040"/>
      </w:tabs>
      <w:spacing w:after="240"/>
      <w:ind w:left="5040" w:hanging="720"/>
      <w:jc w:val="both"/>
    </w:pPr>
    <w:rPr>
      <w:rFonts w:eastAsia="Times New Roman"/>
      <w:szCs w:val="20"/>
      <w:lang w:eastAsia="en-US"/>
    </w:rPr>
  </w:style>
  <w:style w:type="paragraph" w:customStyle="1" w:styleId="Level8">
    <w:name w:val="Level 8"/>
    <w:basedOn w:val="Normal"/>
    <w:rsid w:val="00AA7115"/>
    <w:pPr>
      <w:tabs>
        <w:tab w:val="num" w:pos="5760"/>
      </w:tabs>
      <w:spacing w:after="240"/>
      <w:ind w:left="5760" w:hanging="720"/>
      <w:jc w:val="both"/>
    </w:pPr>
    <w:rPr>
      <w:rFonts w:eastAsia="Times New Roman"/>
      <w:szCs w:val="20"/>
      <w:lang w:eastAsia="en-US"/>
    </w:rPr>
  </w:style>
  <w:style w:type="paragraph" w:customStyle="1" w:styleId="Level9">
    <w:name w:val="Level 9"/>
    <w:basedOn w:val="Normal"/>
    <w:rsid w:val="00AA7115"/>
    <w:pPr>
      <w:tabs>
        <w:tab w:val="num" w:pos="6480"/>
      </w:tabs>
      <w:spacing w:after="240"/>
      <w:ind w:left="6480" w:hanging="720"/>
      <w:jc w:val="both"/>
    </w:pPr>
    <w:rPr>
      <w:rFonts w:eastAsia="Times New Roman"/>
      <w:szCs w:val="20"/>
      <w:lang w:eastAsia="en-US"/>
    </w:rPr>
  </w:style>
  <w:style w:type="character" w:customStyle="1" w:styleId="FootnoteTextChar">
    <w:name w:val="Footnote Text Char"/>
    <w:basedOn w:val="DefaultParagraphFont"/>
    <w:link w:val="FootnoteText"/>
    <w:semiHidden/>
    <w:rsid w:val="00AA7115"/>
    <w:rPr>
      <w:rFonts w:eastAsia="STZhongsong"/>
      <w:sz w:val="16"/>
      <w:lang w:eastAsia="zh-CN"/>
    </w:rPr>
  </w:style>
  <w:style w:type="paragraph" w:customStyle="1" w:styleId="ScheduleHeader">
    <w:name w:val="Schedule Header"/>
    <w:basedOn w:val="Normal"/>
    <w:next w:val="Normal"/>
    <w:rsid w:val="00AA7115"/>
    <w:pPr>
      <w:spacing w:after="240"/>
      <w:jc w:val="center"/>
    </w:pPr>
    <w:rPr>
      <w:rFonts w:eastAsia="Times New Roman"/>
      <w:b/>
      <w:caps/>
      <w:szCs w:val="20"/>
      <w:u w:val="single"/>
      <w:lang w:eastAsia="en-US"/>
    </w:rPr>
  </w:style>
  <w:style w:type="paragraph" w:customStyle="1" w:styleId="Level1Heading">
    <w:name w:val="Level 1 Heading"/>
    <w:basedOn w:val="Level1"/>
    <w:next w:val="Level1"/>
    <w:rsid w:val="00AA7115"/>
    <w:pPr>
      <w:keepNext/>
      <w:ind w:left="431" w:hanging="431"/>
    </w:pPr>
    <w:rPr>
      <w:b/>
      <w:caps/>
      <w:u w:val="single"/>
    </w:rPr>
  </w:style>
  <w:style w:type="paragraph" w:customStyle="1" w:styleId="Level2Heading">
    <w:name w:val="Level 2 Heading"/>
    <w:basedOn w:val="Level2"/>
    <w:next w:val="Level2"/>
    <w:rsid w:val="00AA7115"/>
    <w:pPr>
      <w:keepNext/>
      <w:ind w:left="1077" w:hanging="646"/>
    </w:pPr>
    <w:rPr>
      <w:b/>
      <w:u w:val="single"/>
    </w:rPr>
  </w:style>
  <w:style w:type="paragraph" w:customStyle="1" w:styleId="Level3Heading">
    <w:name w:val="Level 3 Heading"/>
    <w:basedOn w:val="Level3"/>
    <w:next w:val="Level3"/>
    <w:rsid w:val="00AA7115"/>
    <w:pPr>
      <w:keepNext/>
      <w:ind w:left="1939" w:hanging="862"/>
    </w:pPr>
    <w:rPr>
      <w:u w:val="single"/>
    </w:rPr>
  </w:style>
  <w:style w:type="paragraph" w:customStyle="1" w:styleId="ScheduleLevel1Heading">
    <w:name w:val="Schedule Level 1 Heading"/>
    <w:basedOn w:val="ScheduleLevel1"/>
    <w:next w:val="ScheduleLevel1"/>
    <w:rsid w:val="00AA7115"/>
    <w:pPr>
      <w:keepNext/>
      <w:tabs>
        <w:tab w:val="clear" w:pos="720"/>
        <w:tab w:val="num" w:pos="1492"/>
      </w:tabs>
      <w:ind w:left="1492" w:hanging="360"/>
    </w:pPr>
    <w:rPr>
      <w:b/>
      <w:caps/>
      <w:u w:val="single"/>
    </w:rPr>
  </w:style>
  <w:style w:type="paragraph" w:customStyle="1" w:styleId="ScheduleLevel2Heading">
    <w:name w:val="Schedule Level 2 Heading"/>
    <w:basedOn w:val="ScheduleLevel2"/>
    <w:next w:val="ScheduleLevel2"/>
    <w:rsid w:val="00AA7115"/>
    <w:pPr>
      <w:numPr>
        <w:ilvl w:val="0"/>
        <w:numId w:val="0"/>
      </w:numPr>
      <w:tabs>
        <w:tab w:val="num" w:pos="1080"/>
      </w:tabs>
      <w:ind w:left="1080" w:hanging="648"/>
    </w:pPr>
  </w:style>
  <w:style w:type="paragraph" w:customStyle="1" w:styleId="ScheduleLevel3Heading">
    <w:name w:val="Schedule Level 3 Heading"/>
    <w:basedOn w:val="ScheduleLevel3"/>
    <w:next w:val="ScheduleLevel3"/>
    <w:rsid w:val="00AA7115"/>
    <w:pPr>
      <w:keepNext/>
      <w:numPr>
        <w:ilvl w:val="0"/>
        <w:numId w:val="0"/>
      </w:numPr>
      <w:tabs>
        <w:tab w:val="num" w:pos="2160"/>
      </w:tabs>
      <w:ind w:left="2160" w:hanging="720"/>
    </w:pPr>
    <w:rPr>
      <w:u w:val="single"/>
    </w:rPr>
  </w:style>
  <w:style w:type="character" w:customStyle="1" w:styleId="Level4Char">
    <w:name w:val="Level 4 Char"/>
    <w:basedOn w:val="DefaultParagraphFont"/>
    <w:rsid w:val="00AA7115"/>
    <w:rPr>
      <w:rFonts w:ascii="Arial" w:hAnsi="Arial"/>
      <w:sz w:val="22"/>
      <w:lang w:val="en-GB" w:eastAsia="en-US" w:bidi="ar-SA"/>
    </w:rPr>
  </w:style>
  <w:style w:type="character" w:customStyle="1" w:styleId="Level3Char">
    <w:name w:val="Level 3 Char"/>
    <w:basedOn w:val="DefaultParagraphFont"/>
    <w:rsid w:val="00AA7115"/>
    <w:rPr>
      <w:rFonts w:ascii="Arial" w:hAnsi="Arial"/>
      <w:sz w:val="22"/>
      <w:lang w:val="en-GB" w:eastAsia="en-US" w:bidi="ar-SA"/>
    </w:rPr>
  </w:style>
  <w:style w:type="paragraph" w:customStyle="1" w:styleId="Style2">
    <w:name w:val="Style2"/>
    <w:basedOn w:val="Normal"/>
    <w:rsid w:val="00AA7115"/>
    <w:pPr>
      <w:tabs>
        <w:tab w:val="left" w:pos="720"/>
        <w:tab w:val="left" w:pos="851"/>
        <w:tab w:val="left" w:pos="1418"/>
        <w:tab w:val="left" w:pos="1584"/>
        <w:tab w:val="left" w:pos="2592"/>
        <w:tab w:val="left" w:pos="3744"/>
        <w:tab w:val="left" w:pos="5184"/>
        <w:tab w:val="left" w:pos="6912"/>
      </w:tabs>
      <w:jc w:val="both"/>
    </w:pPr>
    <w:rPr>
      <w:rFonts w:eastAsia="Times New Roman"/>
      <w:sz w:val="24"/>
      <w:szCs w:val="20"/>
      <w:lang w:eastAsia="en-US"/>
    </w:rPr>
  </w:style>
  <w:style w:type="character" w:customStyle="1" w:styleId="1">
    <w:name w:val="1"/>
    <w:rsid w:val="00AA7115"/>
    <w:rPr>
      <w:rFonts w:ascii="CG Times" w:hAnsi="CG Times"/>
      <w:sz w:val="24"/>
    </w:rPr>
  </w:style>
  <w:style w:type="paragraph" w:customStyle="1" w:styleId="TxBrp15">
    <w:name w:val="TxBr_p15"/>
    <w:basedOn w:val="Normal"/>
    <w:rsid w:val="00AA7115"/>
    <w:pPr>
      <w:widowControl w:val="0"/>
      <w:tabs>
        <w:tab w:val="left" w:pos="204"/>
      </w:tabs>
      <w:spacing w:line="289" w:lineRule="atLeast"/>
      <w:jc w:val="both"/>
    </w:pPr>
    <w:rPr>
      <w:rFonts w:eastAsia="Times New Roman"/>
      <w:snapToGrid w:val="0"/>
      <w:sz w:val="24"/>
      <w:szCs w:val="20"/>
      <w:lang w:eastAsia="en-US"/>
    </w:rPr>
  </w:style>
  <w:style w:type="character" w:customStyle="1" w:styleId="BodyText2Char">
    <w:name w:val="Body Text 2 Char"/>
    <w:basedOn w:val="DefaultParagraphFont"/>
    <w:link w:val="BodyText2"/>
    <w:rsid w:val="00AA7115"/>
    <w:rPr>
      <w:rFonts w:eastAsia="SimSun"/>
      <w:sz w:val="22"/>
      <w:szCs w:val="24"/>
      <w:lang w:eastAsia="zh-CN"/>
    </w:rPr>
  </w:style>
  <w:style w:type="paragraph" w:customStyle="1" w:styleId="Body0">
    <w:name w:val="Body"/>
    <w:rsid w:val="00AA7115"/>
    <w:pPr>
      <w:tabs>
        <w:tab w:val="left" w:pos="360"/>
      </w:tabs>
    </w:pPr>
    <w:rPr>
      <w:lang w:val="en-US" w:eastAsia="en-US"/>
    </w:rPr>
  </w:style>
  <w:style w:type="paragraph" w:customStyle="1" w:styleId="add">
    <w:name w:val="add"/>
    <w:rsid w:val="00AA7115"/>
    <w:rPr>
      <w:sz w:val="24"/>
      <w:szCs w:val="24"/>
      <w:lang w:eastAsia="en-US"/>
    </w:rPr>
  </w:style>
  <w:style w:type="paragraph" w:customStyle="1" w:styleId="KLegalHeading3">
    <w:name w:val="KLegal Heading 3"/>
    <w:basedOn w:val="Normal"/>
    <w:next w:val="Normal"/>
    <w:rsid w:val="00AA7115"/>
    <w:pPr>
      <w:keepNext/>
      <w:tabs>
        <w:tab w:val="num" w:pos="2160"/>
      </w:tabs>
      <w:overflowPunct w:val="0"/>
      <w:autoSpaceDE w:val="0"/>
      <w:autoSpaceDN w:val="0"/>
      <w:adjustRightInd w:val="0"/>
      <w:spacing w:after="220"/>
      <w:ind w:left="1440" w:hanging="720"/>
      <w:jc w:val="both"/>
      <w:textAlignment w:val="baseline"/>
    </w:pPr>
    <w:rPr>
      <w:rFonts w:eastAsia="Times New Roman"/>
      <w:b/>
      <w:szCs w:val="20"/>
      <w:lang w:eastAsia="en-US"/>
    </w:rPr>
  </w:style>
  <w:style w:type="paragraph" w:customStyle="1" w:styleId="KLegalHeading4">
    <w:name w:val="KLegal Heading 4"/>
    <w:basedOn w:val="Normal"/>
    <w:next w:val="Normal"/>
    <w:rsid w:val="00AA7115"/>
    <w:pPr>
      <w:keepNext/>
      <w:tabs>
        <w:tab w:val="num" w:pos="2880"/>
      </w:tabs>
      <w:overflowPunct w:val="0"/>
      <w:autoSpaceDE w:val="0"/>
      <w:autoSpaceDN w:val="0"/>
      <w:adjustRightInd w:val="0"/>
      <w:spacing w:after="220"/>
      <w:ind w:left="2160" w:hanging="720"/>
      <w:jc w:val="both"/>
      <w:textAlignment w:val="baseline"/>
    </w:pPr>
    <w:rPr>
      <w:rFonts w:eastAsia="Times New Roman"/>
      <w:b/>
      <w:i/>
      <w:szCs w:val="20"/>
      <w:lang w:eastAsia="en-US"/>
    </w:rPr>
  </w:style>
  <w:style w:type="paragraph" w:customStyle="1" w:styleId="KLegalHeading1">
    <w:name w:val="KLegal Heading 1"/>
    <w:basedOn w:val="Normal"/>
    <w:next w:val="KLegalHeading2"/>
    <w:rsid w:val="00AA7115"/>
    <w:pPr>
      <w:keepNext/>
      <w:pageBreakBefore/>
      <w:tabs>
        <w:tab w:val="num" w:pos="720"/>
      </w:tabs>
      <w:overflowPunct w:val="0"/>
      <w:autoSpaceDE w:val="0"/>
      <w:autoSpaceDN w:val="0"/>
      <w:adjustRightInd w:val="0"/>
      <w:spacing w:after="440"/>
      <w:ind w:left="851" w:hanging="851"/>
      <w:jc w:val="both"/>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AA7115"/>
    <w:pPr>
      <w:keepNext/>
      <w:tabs>
        <w:tab w:val="num" w:pos="1440"/>
      </w:tabs>
      <w:overflowPunct w:val="0"/>
      <w:autoSpaceDE w:val="0"/>
      <w:autoSpaceDN w:val="0"/>
      <w:adjustRightInd w:val="0"/>
      <w:spacing w:after="220"/>
      <w:ind w:left="851" w:hanging="851"/>
      <w:jc w:val="both"/>
      <w:textAlignment w:val="baseline"/>
      <w:outlineLvl w:val="1"/>
    </w:pPr>
    <w:rPr>
      <w:rFonts w:eastAsia="Times New Roman"/>
      <w:b/>
      <w:sz w:val="28"/>
      <w:szCs w:val="20"/>
      <w:lang w:eastAsia="en-US"/>
    </w:rPr>
  </w:style>
  <w:style w:type="paragraph" w:customStyle="1" w:styleId="01-Level1-BB">
    <w:name w:val="01-Level1-BB"/>
    <w:basedOn w:val="Normal"/>
    <w:next w:val="Normal"/>
    <w:rsid w:val="00AA7115"/>
    <w:pPr>
      <w:tabs>
        <w:tab w:val="num" w:pos="720"/>
      </w:tabs>
      <w:ind w:left="720" w:hanging="720"/>
      <w:jc w:val="both"/>
    </w:pPr>
    <w:rPr>
      <w:rFonts w:eastAsia="Times New Roman"/>
      <w:b/>
      <w:szCs w:val="20"/>
      <w:lang w:eastAsia="en-US"/>
    </w:rPr>
  </w:style>
  <w:style w:type="paragraph" w:customStyle="1" w:styleId="01-Level2-BB">
    <w:name w:val="01-Level2-BB"/>
    <w:basedOn w:val="Normal"/>
    <w:next w:val="Normal"/>
    <w:rsid w:val="00AA7115"/>
    <w:pPr>
      <w:tabs>
        <w:tab w:val="num" w:pos="1440"/>
      </w:tabs>
      <w:ind w:left="1440" w:hanging="720"/>
      <w:jc w:val="both"/>
    </w:pPr>
    <w:rPr>
      <w:rFonts w:eastAsia="Times New Roman"/>
      <w:szCs w:val="20"/>
      <w:lang w:eastAsia="en-US"/>
    </w:rPr>
  </w:style>
  <w:style w:type="paragraph" w:customStyle="1" w:styleId="01-Level3-BB">
    <w:name w:val="01-Level3-BB"/>
    <w:basedOn w:val="Normal"/>
    <w:next w:val="Normal"/>
    <w:rsid w:val="00AA7115"/>
    <w:pPr>
      <w:tabs>
        <w:tab w:val="num" w:pos="2160"/>
      </w:tabs>
      <w:ind w:left="2160" w:hanging="720"/>
      <w:jc w:val="both"/>
    </w:pPr>
    <w:rPr>
      <w:rFonts w:eastAsia="Times New Roman"/>
      <w:szCs w:val="20"/>
      <w:lang w:eastAsia="en-US"/>
    </w:rPr>
  </w:style>
  <w:style w:type="paragraph" w:customStyle="1" w:styleId="01-Level4-BB">
    <w:name w:val="01-Level4-BB"/>
    <w:basedOn w:val="Normal"/>
    <w:next w:val="Normal"/>
    <w:rsid w:val="00AA7115"/>
    <w:pPr>
      <w:tabs>
        <w:tab w:val="num" w:pos="2880"/>
      </w:tabs>
      <w:ind w:left="2880" w:hanging="720"/>
      <w:jc w:val="both"/>
    </w:pPr>
    <w:rPr>
      <w:rFonts w:eastAsia="Times New Roman"/>
      <w:szCs w:val="20"/>
      <w:lang w:eastAsia="en-US"/>
    </w:rPr>
  </w:style>
  <w:style w:type="paragraph" w:customStyle="1" w:styleId="01-Level5-BB">
    <w:name w:val="01-Level5-BB"/>
    <w:basedOn w:val="Normal"/>
    <w:next w:val="Normal"/>
    <w:rsid w:val="00AA7115"/>
    <w:pPr>
      <w:tabs>
        <w:tab w:val="num" w:pos="3600"/>
      </w:tabs>
      <w:ind w:left="3600" w:hanging="720"/>
      <w:jc w:val="both"/>
    </w:pPr>
    <w:rPr>
      <w:rFonts w:eastAsia="Times New Roman"/>
      <w:szCs w:val="20"/>
      <w:lang w:eastAsia="en-US"/>
    </w:rPr>
  </w:style>
  <w:style w:type="paragraph" w:customStyle="1" w:styleId="00-Normal-BB">
    <w:name w:val="00-Normal-BB"/>
    <w:rsid w:val="00AA7115"/>
    <w:pPr>
      <w:jc w:val="both"/>
    </w:pPr>
    <w:rPr>
      <w:lang w:eastAsia="en-US"/>
    </w:rPr>
  </w:style>
  <w:style w:type="character" w:customStyle="1" w:styleId="StyleArial11pt">
    <w:name w:val="Style Arial 11 pt"/>
    <w:basedOn w:val="DefaultParagraphFont"/>
    <w:rsid w:val="00AA7115"/>
    <w:rPr>
      <w:rFonts w:ascii="Arial" w:hAnsi="Arial"/>
      <w:color w:val="auto"/>
      <w:sz w:val="22"/>
    </w:rPr>
  </w:style>
  <w:style w:type="paragraph" w:customStyle="1" w:styleId="StyleHeading3Arial11ptAutoLeft0cmFirstline0cm">
    <w:name w:val="Style Heading 3 + Arial 11 pt Auto Left:  0 cm First line:  0 cm"/>
    <w:basedOn w:val="Normal"/>
    <w:rsid w:val="00AA7115"/>
    <w:pPr>
      <w:tabs>
        <w:tab w:val="num" w:pos="720"/>
      </w:tabs>
      <w:ind w:left="720" w:hanging="720"/>
    </w:pPr>
    <w:rPr>
      <w:rFonts w:eastAsia="Times New Roman"/>
      <w:sz w:val="24"/>
      <w:lang w:eastAsia="en-US"/>
    </w:rPr>
  </w:style>
  <w:style w:type="paragraph" w:customStyle="1" w:styleId="OutlineIndPara">
    <w:name w:val="Outline Ind Para"/>
    <w:basedOn w:val="Normal"/>
    <w:rsid w:val="00AA7115"/>
    <w:pPr>
      <w:spacing w:after="240"/>
      <w:ind w:left="851"/>
      <w:jc w:val="both"/>
    </w:pPr>
    <w:rPr>
      <w:rFonts w:eastAsia="Times New Roman"/>
      <w:szCs w:val="20"/>
      <w:lang w:eastAsia="en-US"/>
    </w:rPr>
  </w:style>
  <w:style w:type="paragraph" w:customStyle="1" w:styleId="AppSub">
    <w:name w:val="App Sub"/>
    <w:basedOn w:val="Normal"/>
    <w:next w:val="Normal"/>
    <w:rsid w:val="00AA7115"/>
    <w:pPr>
      <w:tabs>
        <w:tab w:val="num" w:pos="720"/>
      </w:tabs>
      <w:spacing w:after="240"/>
      <w:ind w:left="720" w:hanging="720"/>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AA7115"/>
    <w:pPr>
      <w:spacing w:before="240"/>
      <w:ind w:left="782" w:hanging="357"/>
      <w:jc w:val="both"/>
    </w:pPr>
    <w:rPr>
      <w:bCs/>
      <w:szCs w:val="20"/>
    </w:rPr>
  </w:style>
  <w:style w:type="paragraph" w:customStyle="1" w:styleId="HeadA">
    <w:name w:val="Head A"/>
    <w:basedOn w:val="Heading1"/>
    <w:next w:val="Normal"/>
    <w:rsid w:val="00AA7115"/>
    <w:pPr>
      <w:numPr>
        <w:numId w:val="0"/>
      </w:numPr>
      <w:tabs>
        <w:tab w:val="num" w:pos="720"/>
      </w:tabs>
      <w:adjustRightInd/>
      <w:spacing w:after="120"/>
      <w:ind w:left="720" w:hanging="720"/>
    </w:pPr>
    <w:rPr>
      <w:rFonts w:eastAsia="Times New Roman"/>
      <w:bCs/>
      <w:caps w:val="0"/>
      <w:kern w:val="32"/>
      <w:sz w:val="28"/>
      <w:szCs w:val="32"/>
      <w:lang w:eastAsia="en-GB"/>
    </w:rPr>
  </w:style>
  <w:style w:type="paragraph" w:customStyle="1" w:styleId="HeadC">
    <w:name w:val="Head C"/>
    <w:basedOn w:val="Heading3"/>
    <w:next w:val="Normal"/>
    <w:rsid w:val="00AA7115"/>
    <w:pPr>
      <w:keepNext/>
      <w:numPr>
        <w:ilvl w:val="0"/>
        <w:numId w:val="0"/>
      </w:numPr>
      <w:tabs>
        <w:tab w:val="left" w:pos="180"/>
        <w:tab w:val="num" w:pos="2160"/>
      </w:tabs>
      <w:adjustRightInd/>
      <w:spacing w:after="120"/>
      <w:ind w:left="2160" w:hanging="720"/>
    </w:pPr>
    <w:rPr>
      <w:rFonts w:eastAsia="Times New Roman"/>
      <w:bCs/>
      <w:szCs w:val="26"/>
      <w:lang w:eastAsia="en-GB"/>
    </w:rPr>
  </w:style>
  <w:style w:type="paragraph" w:customStyle="1" w:styleId="HeadB">
    <w:name w:val="Head B"/>
    <w:basedOn w:val="Normal"/>
    <w:rsid w:val="00AA7115"/>
    <w:pPr>
      <w:tabs>
        <w:tab w:val="num" w:pos="1440"/>
      </w:tabs>
      <w:spacing w:after="60"/>
      <w:ind w:left="1440" w:hanging="720"/>
      <w:jc w:val="both"/>
    </w:pPr>
    <w:rPr>
      <w:rFonts w:ascii="Arial Bold" w:eastAsia="Times New Roman" w:hAnsi="Arial Bold"/>
      <w:b/>
      <w:color w:val="0000FF"/>
      <w:sz w:val="24"/>
      <w:lang w:eastAsia="en-GB"/>
    </w:rPr>
  </w:style>
  <w:style w:type="character" w:customStyle="1" w:styleId="PQQbulletChar">
    <w:name w:val="PQQ bullet Char"/>
    <w:basedOn w:val="DefaultParagraphFont"/>
    <w:link w:val="PQQbullet"/>
    <w:locked/>
    <w:rsid w:val="00AA7115"/>
    <w:rPr>
      <w:rFonts w:eastAsia="Times New Roman"/>
    </w:rPr>
  </w:style>
  <w:style w:type="paragraph" w:customStyle="1" w:styleId="PQQbullet">
    <w:name w:val="PQQ bullet"/>
    <w:basedOn w:val="Normal"/>
    <w:link w:val="PQQbulletChar"/>
    <w:rsid w:val="00AA7115"/>
    <w:pPr>
      <w:tabs>
        <w:tab w:val="num" w:pos="720"/>
      </w:tabs>
      <w:ind w:left="720" w:hanging="720"/>
      <w:jc w:val="both"/>
    </w:pPr>
    <w:rPr>
      <w:rFonts w:eastAsia="Times New Roman"/>
      <w:szCs w:val="22"/>
      <w:lang w:eastAsia="en-GB"/>
    </w:rPr>
  </w:style>
  <w:style w:type="character" w:customStyle="1" w:styleId="IndentAChar">
    <w:name w:val="Indent A Char"/>
    <w:basedOn w:val="DefaultParagraphFont"/>
    <w:link w:val="IndentA"/>
    <w:locked/>
    <w:rsid w:val="00AA7115"/>
    <w:rPr>
      <w:rFonts w:ascii="Arial" w:hAnsi="Arial" w:cs="Arial"/>
      <w:sz w:val="22"/>
      <w:szCs w:val="24"/>
    </w:rPr>
  </w:style>
  <w:style w:type="paragraph" w:customStyle="1" w:styleId="IndentA">
    <w:name w:val="Indent A"/>
    <w:basedOn w:val="Normal"/>
    <w:link w:val="IndentAChar"/>
    <w:rsid w:val="00AA7115"/>
    <w:pPr>
      <w:spacing w:before="60" w:after="120"/>
      <w:ind w:left="181"/>
      <w:jc w:val="both"/>
    </w:pPr>
    <w:rPr>
      <w:rFonts w:eastAsia="Times New Roman"/>
      <w:lang w:eastAsia="en-GB"/>
    </w:rPr>
  </w:style>
  <w:style w:type="paragraph" w:customStyle="1" w:styleId="htm01normal">
    <w:name w:val="htm01 normal"/>
    <w:basedOn w:val="Normal"/>
    <w:rsid w:val="00AA7115"/>
    <w:pPr>
      <w:ind w:left="900"/>
    </w:pPr>
    <w:rPr>
      <w:rFonts w:eastAsia="Times New Roman"/>
      <w:sz w:val="24"/>
      <w:szCs w:val="20"/>
      <w:lang w:eastAsia="en-US"/>
    </w:rPr>
  </w:style>
  <w:style w:type="paragraph" w:styleId="Revision">
    <w:name w:val="Revision"/>
    <w:hidden/>
    <w:uiPriority w:val="99"/>
    <w:semiHidden/>
    <w:rsid w:val="00AA7115"/>
    <w:rPr>
      <w:rFonts w:eastAsia="SimSun"/>
      <w:szCs w:val="24"/>
      <w:lang w:eastAsia="zh-CN"/>
    </w:rPr>
  </w:style>
  <w:style w:type="paragraph" w:customStyle="1" w:styleId="Style1">
    <w:name w:val="Style1"/>
    <w:basedOn w:val="TOC9"/>
    <w:qFormat/>
    <w:rsid w:val="00861D08"/>
    <w:rPr>
      <w:noProof/>
    </w:rPr>
  </w:style>
  <w:style w:type="paragraph" w:customStyle="1" w:styleId="01-NormInd1-BB">
    <w:name w:val="01-NormInd1-BB"/>
    <w:basedOn w:val="Normal"/>
    <w:rsid w:val="00861D08"/>
    <w:pPr>
      <w:spacing w:after="120"/>
      <w:ind w:left="720"/>
      <w:jc w:val="both"/>
    </w:pPr>
    <w:rPr>
      <w:rFonts w:eastAsia="Times New Roman"/>
      <w:sz w:val="20"/>
      <w:szCs w:val="20"/>
      <w:lang w:eastAsia="en-US"/>
    </w:rPr>
  </w:style>
  <w:style w:type="character" w:customStyle="1" w:styleId="HouseStyleBaseChar">
    <w:name w:val="House Style Base Char"/>
    <w:basedOn w:val="DefaultParagraphFont"/>
    <w:link w:val="HouseStyleBase"/>
    <w:rsid w:val="00861D08"/>
    <w:rPr>
      <w:rFonts w:ascii="Arial" w:eastAsia="STZhongsong" w:hAnsi="Arial"/>
      <w:sz w:val="22"/>
      <w:lang w:val="en-GB" w:eastAsia="zh-CN" w:bidi="ar-SA"/>
    </w:rPr>
  </w:style>
  <w:style w:type="character" w:customStyle="1" w:styleId="CharChar2">
    <w:name w:val="Char Char2"/>
    <w:basedOn w:val="DefaultParagraphFont"/>
    <w:rsid w:val="00861D08"/>
    <w:rPr>
      <w:rFonts w:ascii="Arial" w:hAnsi="Arial"/>
      <w:sz w:val="22"/>
      <w:szCs w:val="24"/>
      <w:lang w:eastAsia="en-US"/>
    </w:rPr>
  </w:style>
  <w:style w:type="numbering" w:customStyle="1" w:styleId="1111111">
    <w:name w:val="1 / 1.1 / 1.1.11"/>
    <w:basedOn w:val="NoList"/>
    <w:next w:val="111111"/>
    <w:rsid w:val="00F44D62"/>
  </w:style>
  <w:style w:type="character" w:customStyle="1" w:styleId="apple-tab-span">
    <w:name w:val="apple-tab-span"/>
    <w:basedOn w:val="DefaultParagraphFont"/>
    <w:rsid w:val="00183DAF"/>
  </w:style>
  <w:style w:type="table" w:customStyle="1" w:styleId="a">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0">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3">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4">
    <w:basedOn w:val="TableNormal"/>
    <w:tblPr>
      <w:tblStyleRowBandSize w:val="1"/>
      <w:tblStyleColBandSize w:val="1"/>
      <w:tblCellMar>
        <w:top w:w="100" w:type="dxa"/>
        <w:left w:w="100" w:type="dxa"/>
        <w:bottom w:w="100" w:type="dxa"/>
        <w:right w:w="100" w:type="dxa"/>
      </w:tblCellMar>
    </w:tblPr>
  </w:style>
  <w:style w:type="character" w:styleId="UnresolvedMention">
    <w:name w:val="Unresolved Mention"/>
    <w:basedOn w:val="DefaultParagraphFont"/>
    <w:uiPriority w:val="99"/>
    <w:semiHidden/>
    <w:unhideWhenUsed/>
    <w:rsid w:val="009012A8"/>
    <w:rPr>
      <w:color w:val="605E5C"/>
      <w:shd w:val="clear" w:color="auto" w:fill="E1DFDD"/>
    </w:rPr>
  </w:style>
  <w:style w:type="table" w:customStyle="1" w:styleId="a5">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6">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9">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a">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2230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oeofinance@cabinetoffice.gov.uk" TargetMode="External"/><Relationship Id="rId4" Type="http://schemas.openxmlformats.org/officeDocument/2006/relationships/settings" Target="settings.xml"/><Relationship Id="rId9" Type="http://schemas.openxmlformats.org/officeDocument/2006/relationships/hyperlink" Target="mailto:accounts-payable.cab@sscl.gse.gov.uk"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8" Type="http://schemas.openxmlformats.org/officeDocument/2006/relationships/hyperlink" Target="https://pure.manchester.ac.uk/ws/portalfiles/portal/33083313/FULL_TEXT.PDF" TargetMode="External"/><Relationship Id="rId13" Type="http://schemas.openxmlformats.org/officeDocument/2006/relationships/hyperlink" Target="https://webarchive.nationalarchives.gov.uk/ukgwa/20131001182207/http://www.civilservice.gov.uk/networks/gsr/resources-and-guidance/rapid-evidence-assessment" TargetMode="External"/><Relationship Id="rId18" Type="http://schemas.openxmlformats.org/officeDocument/2006/relationships/hyperlink" Target="https://openaccess.city.ac.uk/id/eprint/19821/1/Gender_pay_gap_in_the_UK_evidence_from_the_UKHLS.pdf" TargetMode="External"/><Relationship Id="rId3" Type="http://schemas.openxmlformats.org/officeDocument/2006/relationships/hyperlink" Target="https://www.tuc.org.uk/news/tuc-gender-pay-gap-means-women-work-first-two-months-year-unpaid" TargetMode="External"/><Relationship Id="rId21" Type="http://schemas.openxmlformats.org/officeDocument/2006/relationships/hyperlink" Target="https://pure.manchester.ac.uk/ws/portalfiles/portal/33083313/FULL_TEXT.PDF" TargetMode="External"/><Relationship Id="rId7" Type="http://schemas.openxmlformats.org/officeDocument/2006/relationships/hyperlink" Target="https://openaccess.city.ac.uk/id/eprint/19821/1/Gender_pay_gap_in_the_UK_evidence_from_the_UKHLS.pdf" TargetMode="External"/><Relationship Id="rId12" Type="http://schemas.openxmlformats.org/officeDocument/2006/relationships/hyperlink" Target="https://pure.manchester.ac.uk/ws/portalfiles/portal/33083313/FULL_TEXT.PDF" TargetMode="External"/><Relationship Id="rId17" Type="http://schemas.openxmlformats.org/officeDocument/2006/relationships/hyperlink" Target="https://www.gov.uk/government/publications/the-aqua-book-guidance-on-producing-quality-analysis-for-government" TargetMode="External"/><Relationship Id="rId25" Type="http://schemas.openxmlformats.org/officeDocument/2006/relationships/hyperlink" Target="https://www.gov.uk/government/publications/the-aqua-book-guidance-on-producing-quality-analysis-for-government" TargetMode="External"/><Relationship Id="rId2" Type="http://schemas.openxmlformats.org/officeDocument/2006/relationships/hyperlink" Target="https://www.ons.gov.uk/employmentandlabourmarket/peopleinwork/earningsandworkinghours/bulletins/genderpaygapintheuk/2024" TargetMode="External"/><Relationship Id="rId16" Type="http://schemas.openxmlformats.org/officeDocument/2006/relationships/hyperlink" Target="https://www.gov.uk/guidance/guidance-and-tools-for-digital-accessibility" TargetMode="External"/><Relationship Id="rId20" Type="http://schemas.openxmlformats.org/officeDocument/2006/relationships/hyperlink" Target="https://openaccess.city.ac.uk/id/eprint/19821/1/Gender_pay_gap_in_the_UK_evidence_from_the_UKHLS.pdf" TargetMode="External"/><Relationship Id="rId1" Type="http://schemas.openxmlformats.org/officeDocument/2006/relationships/hyperlink" Target="https://www.gov.uk/government/organisations/cabinet-office" TargetMode="External"/><Relationship Id="rId6" Type="http://schemas.openxmlformats.org/officeDocument/2006/relationships/hyperlink" Target="https://pure.manchester.ac.uk/ws/portalfiles/portal/33083313/FULL_TEXT.PDF" TargetMode="External"/><Relationship Id="rId11" Type="http://schemas.openxmlformats.org/officeDocument/2006/relationships/hyperlink" Target="https://openaccess.city.ac.uk/id/eprint/19821/1/Gender_pay_gap_in_the_UK_evidence_from_the_UKHLS.pdf" TargetMode="External"/><Relationship Id="rId24" Type="http://schemas.openxmlformats.org/officeDocument/2006/relationships/hyperlink" Target="https://www.gov.uk/guidance/guidance-and-tools-for-digital-accessibility" TargetMode="External"/><Relationship Id="rId5" Type="http://schemas.openxmlformats.org/officeDocument/2006/relationships/hyperlink" Target="https://openaccess.city.ac.uk/id/eprint/19821/1/Gender_pay_gap_in_the_UK_evidence_from_the_UKHLS.pdf" TargetMode="External"/><Relationship Id="rId15" Type="http://schemas.openxmlformats.org/officeDocument/2006/relationships/hyperlink" Target="https://openaccess.city.ac.uk/id/eprint/19821/1/Gender_pay_gap_in_the_UK_evidence_from_the_UKHLS.pdf" TargetMode="External"/><Relationship Id="rId23" Type="http://schemas.openxmlformats.org/officeDocument/2006/relationships/hyperlink" Target="https://www.gov.uk/government/publications/the-aqua-book-guidance-on-producing-quality-analysis-for-government" TargetMode="External"/><Relationship Id="rId10" Type="http://schemas.openxmlformats.org/officeDocument/2006/relationships/hyperlink" Target="https://pure.manchester.ac.uk/ws/portalfiles/portal/33083313/FULL_TEXT.PDF" TargetMode="External"/><Relationship Id="rId19" Type="http://schemas.openxmlformats.org/officeDocument/2006/relationships/hyperlink" Target="https://pure.manchester.ac.uk/ws/portalfiles/portal/33083313/FULL_TEXT.PDF" TargetMode="External"/><Relationship Id="rId4" Type="http://schemas.openxmlformats.org/officeDocument/2006/relationships/hyperlink" Target="https://www.pwc.co.uk/services/human-resource-services/gender-pay.html" TargetMode="External"/><Relationship Id="rId9" Type="http://schemas.openxmlformats.org/officeDocument/2006/relationships/hyperlink" Target="https://openaccess.city.ac.uk/id/eprint/19821/1/Gender_pay_gap_in_the_UK_evidence_from_the_UKHLS.pdf" TargetMode="External"/><Relationship Id="rId14" Type="http://schemas.openxmlformats.org/officeDocument/2006/relationships/hyperlink" Target="https://www.gov.uk/government/publications/the-aqua-book-guidance-on-producing-quality-analysis-for-government" TargetMode="External"/><Relationship Id="rId22" Type="http://schemas.openxmlformats.org/officeDocument/2006/relationships/hyperlink" Target="https://best-practice-and-impact.github.io/qa-of-code-guidance/intro.htm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U13Wikk4ReNzLkvfO/6/qqml1A==">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28</Pages>
  <Words>6206</Words>
  <Characters>35375</Characters>
  <Application>Microsoft Office Word</Application>
  <DocSecurity>0</DocSecurity>
  <Lines>294</Lines>
  <Paragraphs>82</Paragraphs>
  <ScaleCrop>false</ScaleCrop>
  <Company/>
  <LinksUpToDate>false</LinksUpToDate>
  <CharactersWithSpaces>41499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Bergin</dc:creator>
  <cp:lastModifiedBy>Callum Day</cp:lastModifiedBy>
  <cp:revision>3</cp:revision>
  <dcterms:created xsi:type="dcterms:W3CDTF">2025-04-17T11:10:00Z</dcterms:created>
  <dcterms:modified xsi:type="dcterms:W3CDTF">2025-04-17T11:16:00Z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gFAA9xAl/vizjZh2amNVTvCEkMT4+J4rpOL3F0BlA66IB7fpjhxJnonbv3KfUD8nwyvzKd3luDa2PGoo_x000d_Wo+8cPfeyTmBCqiLGl1yrQITBHU7KCV9AkD464N433+WWuzViGb+cML8r371dRHIjBR1tYV9wkHJ_x000d_SVOnqqhvP9GKryAlhPGWU/DJSmwDKJlgo9DCWqSQhJZZcT+vQSn4MK3UWUvw1VYO+yJFReGzH3Yt_x000d_O83XsYcMX1JNcR+wD</vt:lpwstr>
  </property>
  <property fmtid="{D5CDD505-2E9C-101B-9397-08002B2CF9AE}" pid="3" name="MAIL_MSG_ID2">
    <vt:lpwstr>bZAr3zXkshjZdXt5s7fZ+CbAXPK1XWjsrn01cOvHfRhbLg/146YcL4FtlqF_x000d_ZEMmt9wsb1CxDiYwHteSqDx+qs+Ch5K95VZs+w==</vt:lpwstr>
  </property>
  <property fmtid="{D5CDD505-2E9C-101B-9397-08002B2CF9AE}" pid="4" name="RESPONSE_SENDER_NAME">
    <vt:lpwstr>sAAAb0xRtPDW5Uv++Cym4gBj7ywKJWiIkNR/EyQTYW1TdWY=</vt:lpwstr>
  </property>
  <property fmtid="{D5CDD505-2E9C-101B-9397-08002B2CF9AE}" pid="5" name="EMAIL_OWNER_ADDRESS">
    <vt:lpwstr>4AAAv2pPQheLA5W1cZ8QbyIHRIfVXR/+Q2pMbpZiFBEolmAKq0G2ZAR18Q==</vt:lpwstr>
  </property>
  <property fmtid="{D5CDD505-2E9C-101B-9397-08002B2CF9AE}" pid="6" name="WS_TRACKING_ID">
    <vt:lpwstr>7eff4de1-1477-475b-b316-0b641ea670b3</vt:lpwstr>
  </property>
</Properties>
</file>